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764FC" w14:textId="77777777" w:rsidR="009E6B43" w:rsidRDefault="00FC26AD" w:rsidP="009E6B43">
      <w:pPr>
        <w:autoSpaceDE w:val="0"/>
        <w:autoSpaceDN w:val="0"/>
        <w:adjustRightInd w:val="0"/>
        <w:rPr>
          <w:rFonts w:ascii="Arial" w:hAnsi="Arial" w:cs="Arial"/>
          <w:b/>
          <w:bCs/>
          <w:sz w:val="22"/>
          <w:szCs w:val="22"/>
        </w:rPr>
      </w:pPr>
      <w:bookmarkStart w:id="0" w:name="_GoBack"/>
      <w:bookmarkEnd w:id="0"/>
      <w:r>
        <w:rPr>
          <w:noProof/>
          <w:sz w:val="20"/>
          <w:szCs w:val="20"/>
        </w:rPr>
        <w:drawing>
          <wp:anchor distT="0" distB="0" distL="114300" distR="114300" simplePos="0" relativeHeight="251674624" behindDoc="0" locked="0" layoutInCell="1" allowOverlap="1" wp14:anchorId="54219F37" wp14:editId="28E5ECF4">
            <wp:simplePos x="0" y="0"/>
            <wp:positionH relativeFrom="column">
              <wp:posOffset>3411747</wp:posOffset>
            </wp:positionH>
            <wp:positionV relativeFrom="paragraph">
              <wp:posOffset>-508958</wp:posOffset>
            </wp:positionV>
            <wp:extent cx="1901825" cy="1509622"/>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7221" cy="1529781"/>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43">
        <w:rPr>
          <w:rFonts w:ascii="Arial" w:hAnsi="Arial" w:cs="Arial"/>
          <w:b/>
          <w:bCs/>
          <w:sz w:val="22"/>
          <w:szCs w:val="22"/>
        </w:rPr>
        <w:t xml:space="preserve">                                              </w:t>
      </w:r>
    </w:p>
    <w:p w14:paraId="35B9D357" w14:textId="77777777" w:rsidR="009E6B43" w:rsidRDefault="009E6B43" w:rsidP="00FC26AD">
      <w:pPr>
        <w:autoSpaceDE w:val="0"/>
        <w:autoSpaceDN w:val="0"/>
        <w:adjustRightInd w:val="0"/>
        <w:rPr>
          <w:rFonts w:ascii="Arial" w:hAnsi="Arial" w:cs="Arial"/>
          <w:b/>
          <w:bCs/>
          <w:sz w:val="22"/>
          <w:szCs w:val="22"/>
        </w:rPr>
      </w:pPr>
    </w:p>
    <w:p w14:paraId="34ED887F" w14:textId="77777777" w:rsidR="00FC26AD" w:rsidRDefault="00FC26AD" w:rsidP="00FC26AD">
      <w:pPr>
        <w:autoSpaceDE w:val="0"/>
        <w:autoSpaceDN w:val="0"/>
        <w:adjustRightInd w:val="0"/>
        <w:rPr>
          <w:rFonts w:ascii="Arial" w:hAnsi="Arial" w:cs="Arial"/>
          <w:b/>
          <w:bCs/>
          <w:sz w:val="22"/>
          <w:szCs w:val="22"/>
        </w:rPr>
      </w:pPr>
    </w:p>
    <w:p w14:paraId="179A4C73" w14:textId="77777777" w:rsidR="00FC26AD" w:rsidRDefault="00FC26AD" w:rsidP="00FC26AD">
      <w:pPr>
        <w:autoSpaceDE w:val="0"/>
        <w:autoSpaceDN w:val="0"/>
        <w:adjustRightInd w:val="0"/>
        <w:rPr>
          <w:rFonts w:ascii="Arial" w:hAnsi="Arial" w:cs="Arial"/>
          <w:b/>
          <w:bCs/>
          <w:sz w:val="22"/>
          <w:szCs w:val="22"/>
        </w:rPr>
      </w:pPr>
    </w:p>
    <w:p w14:paraId="1573A93A" w14:textId="77777777" w:rsidR="00625186" w:rsidRDefault="00625186" w:rsidP="00FC26AD">
      <w:pPr>
        <w:autoSpaceDE w:val="0"/>
        <w:autoSpaceDN w:val="0"/>
        <w:adjustRightInd w:val="0"/>
        <w:rPr>
          <w:rFonts w:ascii="Arial" w:hAnsi="Arial" w:cs="Arial"/>
          <w:b/>
          <w:bCs/>
          <w:sz w:val="22"/>
          <w:szCs w:val="22"/>
        </w:rPr>
      </w:pPr>
    </w:p>
    <w:p w14:paraId="112FDA8F" w14:textId="77777777" w:rsidR="00FC26AD" w:rsidRDefault="00FC26AD" w:rsidP="00FC26AD">
      <w:pPr>
        <w:autoSpaceDE w:val="0"/>
        <w:autoSpaceDN w:val="0"/>
        <w:adjustRightInd w:val="0"/>
        <w:rPr>
          <w:rFonts w:ascii="Arial" w:hAnsi="Arial" w:cs="Arial"/>
          <w:sz w:val="22"/>
          <w:szCs w:val="22"/>
        </w:rPr>
      </w:pPr>
    </w:p>
    <w:p w14:paraId="73E0542C" w14:textId="42C6E587" w:rsidR="009E6B43" w:rsidRPr="00877E1A" w:rsidRDefault="00625186" w:rsidP="00877E1A">
      <w:pPr>
        <w:rPr>
          <w:rFonts w:ascii="Arial" w:hAnsi="Arial" w:cs="Arial"/>
          <w:b/>
          <w:sz w:val="32"/>
          <w:szCs w:val="32"/>
        </w:rPr>
      </w:pPr>
      <w:r w:rsidRPr="00877E1A">
        <w:rPr>
          <w:rFonts w:ascii="Arial" w:hAnsi="Arial" w:cs="Arial"/>
          <w:b/>
          <w:sz w:val="32"/>
          <w:szCs w:val="32"/>
        </w:rPr>
        <w:t>Report</w:t>
      </w:r>
    </w:p>
    <w:p w14:paraId="000A0CFB" w14:textId="77777777" w:rsidR="00B63F2D" w:rsidRPr="00877E1A" w:rsidRDefault="00B63F2D">
      <w:pPr>
        <w:rPr>
          <w:rFonts w:ascii="Arial" w:hAnsi="Arial" w:cs="Arial"/>
          <w:b/>
          <w:sz w:val="28"/>
          <w:szCs w:val="28"/>
        </w:rPr>
      </w:pPr>
    </w:p>
    <w:p w14:paraId="1CA0A95D" w14:textId="77777777" w:rsidR="00B75F2C" w:rsidRDefault="00B63F2D" w:rsidP="00877E1A">
      <w:pPr>
        <w:rPr>
          <w:rFonts w:ascii="Arial" w:hAnsi="Arial" w:cs="Arial"/>
          <w:b/>
          <w:sz w:val="28"/>
          <w:szCs w:val="28"/>
          <w:u w:val="single"/>
        </w:rPr>
      </w:pPr>
      <w:r w:rsidRPr="00877E1A">
        <w:rPr>
          <w:rFonts w:ascii="Arial" w:hAnsi="Arial" w:cs="Arial"/>
          <w:b/>
          <w:sz w:val="28"/>
          <w:szCs w:val="28"/>
          <w:u w:val="single"/>
        </w:rPr>
        <w:t>Review of planning guidance</w:t>
      </w:r>
      <w:r w:rsidR="00B75F2C" w:rsidRPr="00877E1A">
        <w:rPr>
          <w:rFonts w:ascii="Arial" w:hAnsi="Arial" w:cs="Arial"/>
          <w:b/>
          <w:sz w:val="28"/>
          <w:szCs w:val="28"/>
          <w:u w:val="single"/>
        </w:rPr>
        <w:t xml:space="preserve"> in respect of the Jersey Gas Site</w:t>
      </w:r>
    </w:p>
    <w:p w14:paraId="5611859F" w14:textId="77777777" w:rsidR="00B01660" w:rsidRPr="00877E1A" w:rsidRDefault="00B01660" w:rsidP="00877E1A">
      <w:pPr>
        <w:rPr>
          <w:rFonts w:ascii="Arial" w:hAnsi="Arial" w:cs="Arial"/>
          <w:b/>
          <w:sz w:val="28"/>
          <w:szCs w:val="28"/>
          <w:u w:val="single"/>
        </w:rPr>
      </w:pPr>
    </w:p>
    <w:p w14:paraId="1A71BD04" w14:textId="636050AB" w:rsidR="00B75F2C" w:rsidRPr="00877E1A" w:rsidRDefault="00B75F2C">
      <w:pPr>
        <w:rPr>
          <w:rFonts w:ascii="Arial" w:hAnsi="Arial" w:cs="Arial"/>
          <w:b/>
          <w:sz w:val="28"/>
          <w:szCs w:val="28"/>
        </w:rPr>
      </w:pPr>
      <w:r w:rsidRPr="00877E1A">
        <w:rPr>
          <w:rFonts w:ascii="Arial" w:hAnsi="Arial" w:cs="Arial"/>
          <w:b/>
          <w:sz w:val="28"/>
          <w:szCs w:val="28"/>
        </w:rPr>
        <w:t>2011 North of Town Masterplan</w:t>
      </w:r>
    </w:p>
    <w:p w14:paraId="186D0272" w14:textId="0103AE28" w:rsidR="00B63F2D" w:rsidRPr="00877E1A" w:rsidRDefault="00B75F2C">
      <w:pPr>
        <w:rPr>
          <w:rFonts w:ascii="Arial" w:hAnsi="Arial" w:cs="Arial"/>
          <w:b/>
          <w:sz w:val="28"/>
          <w:szCs w:val="28"/>
        </w:rPr>
      </w:pPr>
      <w:r w:rsidRPr="00877E1A">
        <w:rPr>
          <w:rFonts w:ascii="Arial" w:hAnsi="Arial" w:cs="Arial"/>
          <w:b/>
          <w:sz w:val="28"/>
          <w:szCs w:val="28"/>
        </w:rPr>
        <w:t>2013 Jersey Gas Site Development Brief (Rev.A)</w:t>
      </w:r>
    </w:p>
    <w:p w14:paraId="29038789" w14:textId="77777777" w:rsidR="00B63F2D" w:rsidRPr="00877E1A" w:rsidRDefault="00B63F2D" w:rsidP="00B63F2D">
      <w:pPr>
        <w:rPr>
          <w:rFonts w:ascii="Arial" w:hAnsi="Arial" w:cs="Arial"/>
          <w:b/>
          <w:sz w:val="28"/>
          <w:szCs w:val="28"/>
        </w:rPr>
      </w:pPr>
    </w:p>
    <w:p w14:paraId="07736E7C" w14:textId="5FDD464A" w:rsidR="002954A9" w:rsidRPr="00877E1A" w:rsidRDefault="00875971" w:rsidP="005A5347">
      <w:pPr>
        <w:jc w:val="right"/>
        <w:rPr>
          <w:rFonts w:ascii="Arial" w:hAnsi="Arial" w:cs="Arial"/>
          <w:b/>
        </w:rPr>
      </w:pPr>
      <w:r>
        <w:rPr>
          <w:rFonts w:ascii="Arial" w:hAnsi="Arial" w:cs="Arial"/>
          <w:b/>
        </w:rPr>
        <w:t>28 January 2019</w:t>
      </w:r>
    </w:p>
    <w:p w14:paraId="72624B1C" w14:textId="77777777" w:rsidR="009E6B43" w:rsidRPr="00877E1A" w:rsidRDefault="009E6B43">
      <w:pPr>
        <w:rPr>
          <w:rFonts w:ascii="Arial" w:hAnsi="Arial" w:cs="Arial"/>
        </w:rPr>
      </w:pPr>
    </w:p>
    <w:p w14:paraId="3FE856A0" w14:textId="77777777" w:rsidR="00DC576B" w:rsidRPr="00877E1A" w:rsidRDefault="00DC576B" w:rsidP="00DC576B">
      <w:pPr>
        <w:rPr>
          <w:rFonts w:ascii="Arial" w:hAnsi="Arial" w:cs="Arial"/>
          <w:b/>
        </w:rPr>
      </w:pPr>
      <w:r w:rsidRPr="00877E1A">
        <w:rPr>
          <w:rFonts w:ascii="Arial" w:hAnsi="Arial" w:cs="Arial"/>
          <w:b/>
        </w:rPr>
        <w:t>1. Context</w:t>
      </w:r>
    </w:p>
    <w:p w14:paraId="4F500FDE" w14:textId="77777777" w:rsidR="00B75F2C" w:rsidRPr="00877E1A" w:rsidRDefault="00B75F2C" w:rsidP="00B75F2C">
      <w:pPr>
        <w:tabs>
          <w:tab w:val="left" w:pos="5496"/>
        </w:tabs>
        <w:rPr>
          <w:rFonts w:ascii="Arial" w:hAnsi="Arial" w:cs="Arial"/>
        </w:rPr>
      </w:pPr>
      <w:r w:rsidRPr="00877E1A">
        <w:rPr>
          <w:rFonts w:ascii="Arial" w:hAnsi="Arial" w:cs="Arial"/>
        </w:rPr>
        <w:t>The 2011 North of Town Masterplan</w:t>
      </w:r>
      <w:r w:rsidRPr="00877E1A">
        <w:rPr>
          <w:rStyle w:val="FootnoteReference"/>
          <w:rFonts w:ascii="Arial" w:hAnsi="Arial" w:cs="Arial"/>
        </w:rPr>
        <w:footnoteReference w:id="1"/>
      </w:r>
      <w:r w:rsidRPr="00877E1A">
        <w:rPr>
          <w:rFonts w:ascii="Arial" w:hAnsi="Arial" w:cs="Arial"/>
        </w:rPr>
        <w:t xml:space="preserve"> </w:t>
      </w:r>
      <w:r w:rsidR="00A509CB" w:rsidRPr="00877E1A">
        <w:rPr>
          <w:rFonts w:ascii="Arial" w:hAnsi="Arial" w:cs="Arial"/>
        </w:rPr>
        <w:t>[</w:t>
      </w:r>
      <w:r w:rsidRPr="00877E1A">
        <w:rPr>
          <w:rFonts w:ascii="Arial" w:hAnsi="Arial" w:cs="Arial"/>
        </w:rPr>
        <w:t>NoTMP</w:t>
      </w:r>
      <w:r w:rsidR="00A509CB" w:rsidRPr="00877E1A">
        <w:rPr>
          <w:rFonts w:ascii="Arial" w:hAnsi="Arial" w:cs="Arial"/>
        </w:rPr>
        <w:t>]</w:t>
      </w:r>
      <w:r w:rsidRPr="00877E1A">
        <w:rPr>
          <w:rFonts w:ascii="Arial" w:hAnsi="Arial" w:cs="Arial"/>
        </w:rPr>
        <w:t xml:space="preserve"> and 2013 Jersey Gas Site Development Brief (Rev. A)</w:t>
      </w:r>
      <w:r w:rsidRPr="00877E1A">
        <w:rPr>
          <w:rStyle w:val="FootnoteReference"/>
          <w:rFonts w:ascii="Arial" w:hAnsi="Arial" w:cs="Arial"/>
        </w:rPr>
        <w:footnoteReference w:id="2"/>
      </w:r>
      <w:r w:rsidRPr="00877E1A">
        <w:rPr>
          <w:rFonts w:ascii="Arial" w:hAnsi="Arial" w:cs="Arial"/>
        </w:rPr>
        <w:t xml:space="preserve"> </w:t>
      </w:r>
      <w:r w:rsidR="00A509CB" w:rsidRPr="00877E1A">
        <w:rPr>
          <w:rFonts w:ascii="Arial" w:hAnsi="Arial" w:cs="Arial"/>
        </w:rPr>
        <w:t xml:space="preserve">[the Brief] </w:t>
      </w:r>
      <w:r w:rsidRPr="00877E1A">
        <w:rPr>
          <w:rFonts w:ascii="Arial" w:hAnsi="Arial" w:cs="Arial"/>
        </w:rPr>
        <w:t>remain, under the over-arching strategy of the 2011 Island Plan (Revised 2014), as the adopted planning guidance for the site.</w:t>
      </w:r>
    </w:p>
    <w:p w14:paraId="4D7D8606" w14:textId="77777777" w:rsidR="00B75F2C" w:rsidRPr="00877E1A" w:rsidRDefault="00B75F2C" w:rsidP="00B75F2C">
      <w:pPr>
        <w:tabs>
          <w:tab w:val="left" w:pos="5496"/>
        </w:tabs>
        <w:rPr>
          <w:rFonts w:ascii="Arial" w:hAnsi="Arial" w:cs="Arial"/>
        </w:rPr>
      </w:pPr>
    </w:p>
    <w:p w14:paraId="638B6DDE" w14:textId="77777777" w:rsidR="00B75F2C" w:rsidRPr="00877E1A" w:rsidRDefault="00B75F2C" w:rsidP="00B75F2C">
      <w:pPr>
        <w:tabs>
          <w:tab w:val="left" w:pos="5496"/>
        </w:tabs>
        <w:rPr>
          <w:rFonts w:ascii="Arial" w:hAnsi="Arial" w:cs="Arial"/>
        </w:rPr>
      </w:pPr>
      <w:r w:rsidRPr="00877E1A">
        <w:rPr>
          <w:rFonts w:ascii="Arial" w:hAnsi="Arial" w:cs="Arial"/>
        </w:rPr>
        <w:t>The NoTMP presents a higher level planning framework for the</w:t>
      </w:r>
      <w:r w:rsidR="00A509CB" w:rsidRPr="00877E1A">
        <w:rPr>
          <w:rFonts w:ascii="Arial" w:hAnsi="Arial" w:cs="Arial"/>
        </w:rPr>
        <w:t xml:space="preserve"> wider North of Town</w:t>
      </w:r>
      <w:r w:rsidRPr="00877E1A">
        <w:rPr>
          <w:rFonts w:ascii="Arial" w:hAnsi="Arial" w:cs="Arial"/>
        </w:rPr>
        <w:t xml:space="preserve"> area, </w:t>
      </w:r>
      <w:r w:rsidR="00A509CB" w:rsidRPr="00877E1A">
        <w:rPr>
          <w:rFonts w:ascii="Arial" w:hAnsi="Arial" w:cs="Arial"/>
        </w:rPr>
        <w:t xml:space="preserve">aimed at facilitating the regeneration of older, under used or neglected areas of Town. </w:t>
      </w:r>
    </w:p>
    <w:p w14:paraId="7702C7BE" w14:textId="77777777" w:rsidR="00B75F2C" w:rsidRPr="00877E1A" w:rsidRDefault="00B75F2C" w:rsidP="00DC576B">
      <w:pPr>
        <w:rPr>
          <w:rFonts w:ascii="Arial" w:hAnsi="Arial" w:cs="Arial"/>
        </w:rPr>
      </w:pPr>
    </w:p>
    <w:p w14:paraId="40B5CC05" w14:textId="77777777" w:rsidR="007B2184" w:rsidRPr="00877E1A" w:rsidRDefault="00A509CB" w:rsidP="00DC576B">
      <w:pPr>
        <w:rPr>
          <w:rFonts w:ascii="Arial" w:hAnsi="Arial" w:cs="Arial"/>
        </w:rPr>
      </w:pPr>
      <w:r w:rsidRPr="00877E1A">
        <w:rPr>
          <w:rFonts w:ascii="Arial" w:hAnsi="Arial" w:cs="Arial"/>
        </w:rPr>
        <w:t>The</w:t>
      </w:r>
      <w:r w:rsidR="00DC576B" w:rsidRPr="00877E1A">
        <w:rPr>
          <w:rFonts w:ascii="Arial" w:hAnsi="Arial" w:cs="Arial"/>
        </w:rPr>
        <w:t xml:space="preserve"> primary function</w:t>
      </w:r>
      <w:r w:rsidRPr="00877E1A">
        <w:rPr>
          <w:rFonts w:ascii="Arial" w:hAnsi="Arial" w:cs="Arial"/>
        </w:rPr>
        <w:t xml:space="preserve"> of the Brief</w:t>
      </w:r>
      <w:r w:rsidR="00DC576B" w:rsidRPr="00877E1A">
        <w:rPr>
          <w:rFonts w:ascii="Arial" w:hAnsi="Arial" w:cs="Arial"/>
        </w:rPr>
        <w:t xml:space="preserve"> </w:t>
      </w:r>
      <w:r w:rsidR="001164C1" w:rsidRPr="00877E1A">
        <w:rPr>
          <w:rFonts w:ascii="Arial" w:hAnsi="Arial" w:cs="Arial"/>
        </w:rPr>
        <w:t>was</w:t>
      </w:r>
      <w:r w:rsidR="00F30F87" w:rsidRPr="00877E1A">
        <w:rPr>
          <w:rFonts w:ascii="Arial" w:hAnsi="Arial" w:cs="Arial"/>
        </w:rPr>
        <w:t xml:space="preserve"> to build on the strong intent of the NoTMP and</w:t>
      </w:r>
      <w:r w:rsidR="00DC576B" w:rsidRPr="00877E1A">
        <w:rPr>
          <w:rFonts w:ascii="Arial" w:hAnsi="Arial" w:cs="Arial"/>
        </w:rPr>
        <w:t xml:space="preserve"> to </w:t>
      </w:r>
      <w:r w:rsidR="007B2184" w:rsidRPr="00877E1A">
        <w:rPr>
          <w:rFonts w:ascii="Arial" w:hAnsi="Arial" w:cs="Arial"/>
          <w:i/>
        </w:rPr>
        <w:t>‘establish the general planning principles for the development of the site and to set out the guidelines to be adopted when preparing detailed proposals for its redevelopment</w:t>
      </w:r>
      <w:r w:rsidR="007B2184" w:rsidRPr="00877E1A">
        <w:rPr>
          <w:rStyle w:val="FootnoteReference"/>
          <w:rFonts w:ascii="Arial" w:hAnsi="Arial" w:cs="Arial"/>
          <w:i/>
        </w:rPr>
        <w:footnoteReference w:id="3"/>
      </w:r>
      <w:r w:rsidR="007B2184" w:rsidRPr="00877E1A">
        <w:rPr>
          <w:rFonts w:ascii="Arial" w:hAnsi="Arial" w:cs="Arial"/>
          <w:i/>
        </w:rPr>
        <w:t>’</w:t>
      </w:r>
      <w:r w:rsidR="007B2184" w:rsidRPr="00877E1A">
        <w:rPr>
          <w:rFonts w:ascii="Arial" w:hAnsi="Arial" w:cs="Arial"/>
        </w:rPr>
        <w:t xml:space="preserve">. </w:t>
      </w:r>
    </w:p>
    <w:p w14:paraId="1960A95F" w14:textId="77777777" w:rsidR="007B2184" w:rsidRPr="00877E1A" w:rsidRDefault="007B2184" w:rsidP="00DC576B">
      <w:pPr>
        <w:rPr>
          <w:rFonts w:ascii="Arial" w:hAnsi="Arial" w:cs="Arial"/>
        </w:rPr>
      </w:pPr>
    </w:p>
    <w:p w14:paraId="2C4E54EA" w14:textId="77777777" w:rsidR="007B2184" w:rsidRPr="00877E1A" w:rsidRDefault="007B2184" w:rsidP="00DC576B">
      <w:pPr>
        <w:rPr>
          <w:rFonts w:ascii="Arial" w:hAnsi="Arial" w:cs="Arial"/>
        </w:rPr>
      </w:pPr>
      <w:r w:rsidRPr="00877E1A">
        <w:rPr>
          <w:rFonts w:ascii="Arial" w:hAnsi="Arial" w:cs="Arial"/>
        </w:rPr>
        <w:t xml:space="preserve">In practical terms, the </w:t>
      </w:r>
      <w:r w:rsidR="0025763B" w:rsidRPr="00877E1A">
        <w:rPr>
          <w:rFonts w:ascii="Arial" w:hAnsi="Arial" w:cs="Arial"/>
        </w:rPr>
        <w:t>Brief</w:t>
      </w:r>
      <w:r w:rsidRPr="00877E1A">
        <w:rPr>
          <w:rFonts w:ascii="Arial" w:hAnsi="Arial" w:cs="Arial"/>
        </w:rPr>
        <w:t xml:space="preserve"> provides </w:t>
      </w:r>
      <w:r w:rsidR="00D73747" w:rsidRPr="00877E1A">
        <w:rPr>
          <w:rFonts w:ascii="Arial" w:hAnsi="Arial" w:cs="Arial"/>
        </w:rPr>
        <w:t xml:space="preserve">more detailed </w:t>
      </w:r>
      <w:r w:rsidR="00A8159A" w:rsidRPr="00877E1A">
        <w:rPr>
          <w:rFonts w:ascii="Arial" w:hAnsi="Arial" w:cs="Arial"/>
        </w:rPr>
        <w:t xml:space="preserve">planning </w:t>
      </w:r>
      <w:r w:rsidR="0025763B" w:rsidRPr="00877E1A">
        <w:rPr>
          <w:rFonts w:ascii="Arial" w:hAnsi="Arial" w:cs="Arial"/>
        </w:rPr>
        <w:t>guidance</w:t>
      </w:r>
      <w:r w:rsidR="00A8159A" w:rsidRPr="00877E1A">
        <w:rPr>
          <w:rFonts w:ascii="Arial" w:hAnsi="Arial" w:cs="Arial"/>
        </w:rPr>
        <w:t xml:space="preserve"> to </w:t>
      </w:r>
      <w:r w:rsidR="00DF7F4B" w:rsidRPr="00877E1A">
        <w:rPr>
          <w:rFonts w:ascii="Arial" w:hAnsi="Arial" w:cs="Arial"/>
        </w:rPr>
        <w:t>developers but also</w:t>
      </w:r>
      <w:r w:rsidR="00A509CB" w:rsidRPr="00877E1A">
        <w:rPr>
          <w:rFonts w:ascii="Arial" w:hAnsi="Arial" w:cs="Arial"/>
        </w:rPr>
        <w:t xml:space="preserve"> provides</w:t>
      </w:r>
      <w:r w:rsidR="00DF7F4B" w:rsidRPr="00877E1A">
        <w:rPr>
          <w:rFonts w:ascii="Arial" w:hAnsi="Arial" w:cs="Arial"/>
        </w:rPr>
        <w:t xml:space="preserve"> </w:t>
      </w:r>
      <w:r w:rsidRPr="00877E1A">
        <w:rPr>
          <w:rFonts w:ascii="Arial" w:hAnsi="Arial" w:cs="Arial"/>
        </w:rPr>
        <w:t>the framework for the assessment and determination of any subsequent planning application</w:t>
      </w:r>
      <w:r w:rsidR="00DF7F4B" w:rsidRPr="00877E1A">
        <w:rPr>
          <w:rFonts w:ascii="Arial" w:hAnsi="Arial" w:cs="Arial"/>
        </w:rPr>
        <w:t xml:space="preserve"> for the development of the site</w:t>
      </w:r>
      <w:r w:rsidRPr="00877E1A">
        <w:rPr>
          <w:rFonts w:ascii="Arial" w:hAnsi="Arial" w:cs="Arial"/>
        </w:rPr>
        <w:t xml:space="preserve">. </w:t>
      </w:r>
    </w:p>
    <w:p w14:paraId="541C5FB6" w14:textId="77777777" w:rsidR="00DC576B" w:rsidRPr="00877E1A" w:rsidRDefault="00DC576B" w:rsidP="00DC576B">
      <w:pPr>
        <w:rPr>
          <w:rFonts w:ascii="Arial" w:hAnsi="Arial" w:cs="Arial"/>
        </w:rPr>
      </w:pPr>
    </w:p>
    <w:p w14:paraId="5F90A6A0" w14:textId="77777777" w:rsidR="00DC576B" w:rsidRPr="00877E1A" w:rsidRDefault="00DC576B" w:rsidP="00DC576B">
      <w:pPr>
        <w:rPr>
          <w:rFonts w:ascii="Arial" w:hAnsi="Arial" w:cs="Arial"/>
        </w:rPr>
      </w:pPr>
      <w:r w:rsidRPr="00877E1A">
        <w:rPr>
          <w:rFonts w:ascii="Arial" w:hAnsi="Arial" w:cs="Arial"/>
          <w:b/>
        </w:rPr>
        <w:t xml:space="preserve">2. Purpose of </w:t>
      </w:r>
      <w:r w:rsidR="009D2287" w:rsidRPr="00877E1A">
        <w:rPr>
          <w:rFonts w:ascii="Arial" w:hAnsi="Arial" w:cs="Arial"/>
          <w:b/>
        </w:rPr>
        <w:t>r</w:t>
      </w:r>
      <w:r w:rsidRPr="00877E1A">
        <w:rPr>
          <w:rFonts w:ascii="Arial" w:hAnsi="Arial" w:cs="Arial"/>
          <w:b/>
        </w:rPr>
        <w:t>eport</w:t>
      </w:r>
    </w:p>
    <w:p w14:paraId="4B553C57" w14:textId="77777777" w:rsidR="00DC576B" w:rsidRPr="00877E1A" w:rsidRDefault="00DC576B" w:rsidP="00DC576B">
      <w:pPr>
        <w:rPr>
          <w:rFonts w:ascii="Arial" w:hAnsi="Arial" w:cs="Arial"/>
        </w:rPr>
      </w:pPr>
      <w:r w:rsidRPr="00877E1A">
        <w:rPr>
          <w:rFonts w:ascii="Arial" w:hAnsi="Arial" w:cs="Arial"/>
        </w:rPr>
        <w:t xml:space="preserve">The key aim of this report is to identify whether the </w:t>
      </w:r>
      <w:r w:rsidR="007B2184" w:rsidRPr="00877E1A">
        <w:rPr>
          <w:rFonts w:ascii="Arial" w:hAnsi="Arial" w:cs="Arial"/>
        </w:rPr>
        <w:t>Brief</w:t>
      </w:r>
      <w:r w:rsidR="00DF7F4B" w:rsidRPr="00877E1A">
        <w:rPr>
          <w:rFonts w:ascii="Arial" w:hAnsi="Arial" w:cs="Arial"/>
        </w:rPr>
        <w:t>,</w:t>
      </w:r>
      <w:r w:rsidR="007B2184" w:rsidRPr="00877E1A">
        <w:rPr>
          <w:rFonts w:ascii="Arial" w:hAnsi="Arial" w:cs="Arial"/>
        </w:rPr>
        <w:t xml:space="preserve"> </w:t>
      </w:r>
      <w:r w:rsidR="00592782" w:rsidRPr="00877E1A">
        <w:rPr>
          <w:rFonts w:ascii="Arial" w:hAnsi="Arial" w:cs="Arial"/>
        </w:rPr>
        <w:t>as adopted</w:t>
      </w:r>
      <w:r w:rsidR="00DF7F4B" w:rsidRPr="00877E1A">
        <w:rPr>
          <w:rFonts w:ascii="Arial" w:hAnsi="Arial" w:cs="Arial"/>
        </w:rPr>
        <w:t>,</w:t>
      </w:r>
      <w:r w:rsidR="00592782" w:rsidRPr="00877E1A">
        <w:rPr>
          <w:rFonts w:ascii="Arial" w:hAnsi="Arial" w:cs="Arial"/>
        </w:rPr>
        <w:t xml:space="preserve"> </w:t>
      </w:r>
      <w:r w:rsidRPr="00877E1A">
        <w:rPr>
          <w:rFonts w:ascii="Arial" w:hAnsi="Arial" w:cs="Arial"/>
        </w:rPr>
        <w:t xml:space="preserve">remains appropriate as a planning guidance document or whether it requires modifying. </w:t>
      </w:r>
    </w:p>
    <w:p w14:paraId="1FF8A4E2" w14:textId="77777777" w:rsidR="00DC576B" w:rsidRPr="00877E1A" w:rsidRDefault="00DC576B" w:rsidP="00DC576B">
      <w:pPr>
        <w:rPr>
          <w:rFonts w:ascii="Arial" w:hAnsi="Arial" w:cs="Arial"/>
        </w:rPr>
      </w:pPr>
    </w:p>
    <w:p w14:paraId="20DA2C53" w14:textId="18815D21" w:rsidR="005F30AD" w:rsidRPr="00877E1A" w:rsidRDefault="005F30AD" w:rsidP="00DC576B">
      <w:pPr>
        <w:rPr>
          <w:rFonts w:ascii="Arial" w:hAnsi="Arial" w:cs="Arial"/>
        </w:rPr>
      </w:pPr>
      <w:r w:rsidRPr="00877E1A">
        <w:rPr>
          <w:rFonts w:ascii="Arial" w:hAnsi="Arial" w:cs="Arial"/>
        </w:rPr>
        <w:t>T</w:t>
      </w:r>
      <w:r w:rsidR="00DC576B" w:rsidRPr="00877E1A">
        <w:rPr>
          <w:rFonts w:ascii="Arial" w:hAnsi="Arial" w:cs="Arial"/>
        </w:rPr>
        <w:t xml:space="preserve">he review is prompted by the </w:t>
      </w:r>
      <w:r w:rsidR="00FD40EF" w:rsidRPr="00877E1A">
        <w:rPr>
          <w:rFonts w:ascii="Arial" w:hAnsi="Arial" w:cs="Arial"/>
        </w:rPr>
        <w:t>adoption of a Proposition</w:t>
      </w:r>
      <w:r w:rsidR="00FD40EF" w:rsidRPr="00877E1A">
        <w:rPr>
          <w:rStyle w:val="FootnoteReference"/>
          <w:rFonts w:ascii="Arial" w:hAnsi="Arial" w:cs="Arial"/>
        </w:rPr>
        <w:footnoteReference w:id="4"/>
      </w:r>
      <w:r w:rsidR="00FD40EF" w:rsidRPr="00877E1A">
        <w:rPr>
          <w:rFonts w:ascii="Arial" w:hAnsi="Arial" w:cs="Arial"/>
        </w:rPr>
        <w:t xml:space="preserve"> </w:t>
      </w:r>
      <w:r w:rsidR="00FD2A44" w:rsidRPr="00877E1A">
        <w:rPr>
          <w:rFonts w:ascii="Arial" w:hAnsi="Arial" w:cs="Arial"/>
        </w:rPr>
        <w:t>by the States Assembly that required Andium Homes</w:t>
      </w:r>
      <w:r w:rsidR="00FD2A44" w:rsidRPr="00877E1A">
        <w:rPr>
          <w:rStyle w:val="FootnoteReference"/>
          <w:rFonts w:ascii="Arial" w:hAnsi="Arial" w:cs="Arial"/>
        </w:rPr>
        <w:footnoteReference w:id="5"/>
      </w:r>
      <w:r w:rsidR="00FD2A44" w:rsidRPr="00877E1A">
        <w:rPr>
          <w:rFonts w:ascii="Arial" w:hAnsi="Arial" w:cs="Arial"/>
        </w:rPr>
        <w:t xml:space="preserve"> to deviate from the requirements of the 2011 North of Town Masterplan [NoTMP].</w:t>
      </w:r>
      <w:r w:rsidR="00DF7F4B" w:rsidRPr="00877E1A">
        <w:rPr>
          <w:rFonts w:ascii="Arial" w:hAnsi="Arial" w:cs="Arial"/>
        </w:rPr>
        <w:t xml:space="preserve"> </w:t>
      </w:r>
      <w:r w:rsidR="002F0D73" w:rsidRPr="00877E1A">
        <w:rPr>
          <w:rFonts w:ascii="Arial" w:hAnsi="Arial" w:cs="Arial"/>
        </w:rPr>
        <w:t xml:space="preserve">The Brief sits below the NoTMP in terms of hierarchy of planning guidance, hence there </w:t>
      </w:r>
      <w:r w:rsidR="00F30F87" w:rsidRPr="00877E1A">
        <w:rPr>
          <w:rFonts w:ascii="Arial" w:hAnsi="Arial" w:cs="Arial"/>
        </w:rPr>
        <w:t xml:space="preserve">also </w:t>
      </w:r>
      <w:r w:rsidR="002F0D73" w:rsidRPr="00877E1A">
        <w:rPr>
          <w:rFonts w:ascii="Arial" w:hAnsi="Arial" w:cs="Arial"/>
        </w:rPr>
        <w:t xml:space="preserve">exists the </w:t>
      </w:r>
      <w:r w:rsidR="002F0D73" w:rsidRPr="00877E1A">
        <w:rPr>
          <w:rFonts w:ascii="Arial" w:hAnsi="Arial" w:cs="Arial"/>
        </w:rPr>
        <w:lastRenderedPageBreak/>
        <w:t xml:space="preserve">possibility of conflict between the requirements of the Brief and of the Proposition. </w:t>
      </w:r>
    </w:p>
    <w:p w14:paraId="6CE324CC" w14:textId="77777777" w:rsidR="00FD40EF" w:rsidRPr="00877E1A" w:rsidRDefault="00FD40EF" w:rsidP="00DC576B">
      <w:pPr>
        <w:rPr>
          <w:rFonts w:ascii="Arial" w:hAnsi="Arial" w:cs="Arial"/>
        </w:rPr>
      </w:pPr>
    </w:p>
    <w:p w14:paraId="61078C3C" w14:textId="77777777" w:rsidR="00FD40EF" w:rsidRPr="00877E1A" w:rsidRDefault="00FD2A44" w:rsidP="00DC576B">
      <w:pPr>
        <w:rPr>
          <w:rFonts w:ascii="Arial" w:hAnsi="Arial" w:cs="Arial"/>
        </w:rPr>
      </w:pPr>
      <w:r w:rsidRPr="00877E1A">
        <w:rPr>
          <w:rFonts w:ascii="Arial" w:hAnsi="Arial" w:cs="Arial"/>
          <w:b/>
        </w:rPr>
        <w:t>3. The Proposition</w:t>
      </w:r>
    </w:p>
    <w:p w14:paraId="799BC9D0" w14:textId="77777777" w:rsidR="00FD2A44" w:rsidRPr="00877E1A" w:rsidRDefault="00FD2A44" w:rsidP="00FD2A44">
      <w:pPr>
        <w:rPr>
          <w:rFonts w:ascii="Arial" w:hAnsi="Arial" w:cs="Arial"/>
        </w:rPr>
      </w:pPr>
      <w:r w:rsidRPr="00877E1A">
        <w:rPr>
          <w:rFonts w:ascii="Arial" w:hAnsi="Arial" w:cs="Arial"/>
        </w:rPr>
        <w:t xml:space="preserve">The Proposition required that </w:t>
      </w:r>
      <w:r w:rsidRPr="00877E1A">
        <w:rPr>
          <w:rFonts w:ascii="Arial" w:hAnsi="Arial" w:cs="Arial"/>
          <w:i/>
        </w:rPr>
        <w:t xml:space="preserve">“…as part of the development of the Jersey Gas site for housing, Andium Homes should be requested to deliver, subject to the award of planning permission, a significant extension to Millennium Town Park, thereby providing greater amenity benefits for all Islanders, the purchase and creation of which will be without additional contribution from the taxpayer; </w:t>
      </w:r>
      <w:r w:rsidR="00F30F87" w:rsidRPr="00877E1A">
        <w:rPr>
          <w:rFonts w:ascii="Arial" w:hAnsi="Arial" w:cs="Arial"/>
          <w:i/>
        </w:rPr>
        <w:t>…</w:t>
      </w:r>
      <w:r w:rsidRPr="00877E1A">
        <w:rPr>
          <w:rFonts w:ascii="Arial" w:hAnsi="Arial" w:cs="Arial"/>
          <w:i/>
        </w:rPr>
        <w:t xml:space="preserve">”. </w:t>
      </w:r>
    </w:p>
    <w:p w14:paraId="689A1F9B" w14:textId="77777777" w:rsidR="00FD2A44" w:rsidRPr="00877E1A" w:rsidRDefault="00FD2A44" w:rsidP="00FD2A44">
      <w:pPr>
        <w:rPr>
          <w:rFonts w:ascii="Arial" w:hAnsi="Arial" w:cs="Arial"/>
        </w:rPr>
      </w:pPr>
    </w:p>
    <w:p w14:paraId="7BBB5EA3" w14:textId="77777777" w:rsidR="00FD2A44" w:rsidRPr="00877E1A" w:rsidRDefault="00FD2A44" w:rsidP="00FD2A44">
      <w:pPr>
        <w:rPr>
          <w:rFonts w:ascii="Arial" w:hAnsi="Arial" w:cs="Arial"/>
          <w:i/>
        </w:rPr>
      </w:pPr>
      <w:r w:rsidRPr="00877E1A">
        <w:rPr>
          <w:rFonts w:ascii="Arial" w:hAnsi="Arial" w:cs="Arial"/>
        </w:rPr>
        <w:t>The Proposition suggested that the site could be developed by way of 110 new homes “</w:t>
      </w:r>
      <w:r w:rsidRPr="00877E1A">
        <w:rPr>
          <w:rFonts w:ascii="Arial" w:hAnsi="Arial" w:cs="Arial"/>
          <w:i/>
        </w:rPr>
        <w:t>…</w:t>
      </w:r>
      <w:r w:rsidRPr="00877E1A">
        <w:rPr>
          <w:rFonts w:ascii="Arial" w:hAnsi="Arial" w:cs="Arial"/>
          <w:i/>
          <w:u w:val="single"/>
        </w:rPr>
        <w:t>some</w:t>
      </w:r>
      <w:r w:rsidRPr="00877E1A">
        <w:rPr>
          <w:rFonts w:ascii="Arial" w:hAnsi="Arial" w:cs="Arial"/>
          <w:i/>
        </w:rPr>
        <w:t xml:space="preserve"> of which would be affordable homes…”</w:t>
      </w:r>
      <w:r w:rsidRPr="00877E1A">
        <w:rPr>
          <w:rStyle w:val="FootnoteReference"/>
          <w:rFonts w:ascii="Arial" w:hAnsi="Arial" w:cs="Arial"/>
          <w:i/>
        </w:rPr>
        <w:footnoteReference w:id="6"/>
      </w:r>
      <w:r w:rsidR="002F0D73" w:rsidRPr="00877E1A">
        <w:rPr>
          <w:rFonts w:ascii="Arial" w:hAnsi="Arial" w:cs="Arial"/>
          <w:i/>
        </w:rPr>
        <w:t xml:space="preserve"> </w:t>
      </w:r>
      <w:r w:rsidR="002F0D73" w:rsidRPr="00877E1A">
        <w:rPr>
          <w:rFonts w:ascii="Arial" w:hAnsi="Arial" w:cs="Arial"/>
        </w:rPr>
        <w:t>[emphasis placed by author].</w:t>
      </w:r>
    </w:p>
    <w:p w14:paraId="5E2A918B" w14:textId="77777777" w:rsidR="00FD2A44" w:rsidRPr="00877E1A" w:rsidRDefault="00FD2A44" w:rsidP="00FD2A44">
      <w:pPr>
        <w:rPr>
          <w:rFonts w:ascii="Arial" w:hAnsi="Arial" w:cs="Arial"/>
        </w:rPr>
      </w:pPr>
    </w:p>
    <w:p w14:paraId="221E64EE" w14:textId="77777777" w:rsidR="00FD2A44" w:rsidRPr="00877E1A" w:rsidRDefault="00236658" w:rsidP="00FD2A44">
      <w:pPr>
        <w:rPr>
          <w:rFonts w:ascii="Arial" w:hAnsi="Arial" w:cs="Arial"/>
        </w:rPr>
      </w:pPr>
      <w:r w:rsidRPr="00877E1A">
        <w:rPr>
          <w:rFonts w:ascii="Arial" w:hAnsi="Arial" w:cs="Arial"/>
        </w:rPr>
        <w:t>The adoption of the</w:t>
      </w:r>
      <w:r w:rsidR="00FD2A44" w:rsidRPr="00877E1A">
        <w:rPr>
          <w:rFonts w:ascii="Arial" w:hAnsi="Arial" w:cs="Arial"/>
        </w:rPr>
        <w:t xml:space="preserve"> Proposition served to set new parameters for the future development of the Jersey Gas site, based around the concept of an extension to Millennium Town Park</w:t>
      </w:r>
      <w:r w:rsidR="00BE274B" w:rsidRPr="00877E1A">
        <w:rPr>
          <w:rFonts w:ascii="Arial" w:hAnsi="Arial" w:cs="Arial"/>
        </w:rPr>
        <w:t xml:space="preserve"> and</w:t>
      </w:r>
      <w:r w:rsidRPr="00877E1A">
        <w:rPr>
          <w:rFonts w:ascii="Arial" w:hAnsi="Arial" w:cs="Arial"/>
        </w:rPr>
        <w:t xml:space="preserve"> the</w:t>
      </w:r>
      <w:r w:rsidR="00BE274B" w:rsidRPr="00877E1A">
        <w:rPr>
          <w:rFonts w:ascii="Arial" w:hAnsi="Arial" w:cs="Arial"/>
        </w:rPr>
        <w:t xml:space="preserve"> provision of new homes</w:t>
      </w:r>
      <w:r w:rsidR="00FD2A44" w:rsidRPr="00877E1A">
        <w:rPr>
          <w:rFonts w:ascii="Arial" w:hAnsi="Arial" w:cs="Arial"/>
        </w:rPr>
        <w:t xml:space="preserve">, within the broader guidelines proffered by the NoTMP and adopted Development Brief. </w:t>
      </w:r>
    </w:p>
    <w:p w14:paraId="0312B35D" w14:textId="77777777" w:rsidR="00FD2A44" w:rsidRPr="00877E1A" w:rsidRDefault="00FD2A44" w:rsidP="00DC576B">
      <w:pPr>
        <w:rPr>
          <w:rFonts w:ascii="Arial" w:hAnsi="Arial" w:cs="Arial"/>
        </w:rPr>
      </w:pPr>
    </w:p>
    <w:p w14:paraId="7F77B366" w14:textId="77777777" w:rsidR="00FD2A44" w:rsidRPr="00877E1A" w:rsidRDefault="00BE274B" w:rsidP="00DC576B">
      <w:pPr>
        <w:rPr>
          <w:rFonts w:ascii="Arial" w:hAnsi="Arial" w:cs="Arial"/>
        </w:rPr>
      </w:pPr>
      <w:r w:rsidRPr="00877E1A">
        <w:rPr>
          <w:rFonts w:ascii="Arial" w:hAnsi="Arial" w:cs="Arial"/>
        </w:rPr>
        <w:t xml:space="preserve">The table below gives a simple breakdown of the expectations </w:t>
      </w:r>
      <w:r w:rsidR="00052B20" w:rsidRPr="00877E1A">
        <w:rPr>
          <w:rFonts w:ascii="Arial" w:hAnsi="Arial" w:cs="Arial"/>
        </w:rPr>
        <w:t xml:space="preserve">raised in the </w:t>
      </w:r>
      <w:r w:rsidR="00E133DE" w:rsidRPr="00877E1A">
        <w:rPr>
          <w:rFonts w:ascii="Arial" w:hAnsi="Arial" w:cs="Arial"/>
        </w:rPr>
        <w:t xml:space="preserve">Proposition compared with those raised in </w:t>
      </w:r>
      <w:r w:rsidR="00D73747" w:rsidRPr="00877E1A">
        <w:rPr>
          <w:rFonts w:ascii="Arial" w:hAnsi="Arial" w:cs="Arial"/>
        </w:rPr>
        <w:t xml:space="preserve">supplementary planning guidance, provided by </w:t>
      </w:r>
      <w:r w:rsidR="00E133DE" w:rsidRPr="00877E1A">
        <w:rPr>
          <w:rFonts w:ascii="Arial" w:hAnsi="Arial" w:cs="Arial"/>
        </w:rPr>
        <w:t>the NoTMP and in the Brief.</w:t>
      </w:r>
      <w:r w:rsidR="00052B20" w:rsidRPr="00877E1A">
        <w:rPr>
          <w:rFonts w:ascii="Arial" w:hAnsi="Arial" w:cs="Arial"/>
        </w:rPr>
        <w:t xml:space="preserve"> </w:t>
      </w:r>
    </w:p>
    <w:tbl>
      <w:tblPr>
        <w:tblStyle w:val="TableGrid"/>
        <w:tblpPr w:leftFromText="180" w:rightFromText="180" w:vertAnchor="text" w:horzAnchor="page" w:tblpX="2905" w:tblpY="178"/>
        <w:tblW w:w="6640" w:type="dxa"/>
        <w:tblLayout w:type="fixed"/>
        <w:tblLook w:val="04A0" w:firstRow="1" w:lastRow="0" w:firstColumn="1" w:lastColumn="0" w:noHBand="0" w:noVBand="1"/>
      </w:tblPr>
      <w:tblGrid>
        <w:gridCol w:w="1413"/>
        <w:gridCol w:w="1825"/>
        <w:gridCol w:w="1842"/>
        <w:gridCol w:w="1560"/>
      </w:tblGrid>
      <w:tr w:rsidR="00F30F87" w:rsidRPr="00625186" w14:paraId="75442A11" w14:textId="77777777" w:rsidTr="00B01660">
        <w:tc>
          <w:tcPr>
            <w:tcW w:w="1413" w:type="dxa"/>
            <w:vMerge w:val="restart"/>
            <w:tcBorders>
              <w:top w:val="single" w:sz="18" w:space="0" w:color="FFFFFF" w:themeColor="background1"/>
              <w:left w:val="single" w:sz="18" w:space="0" w:color="FFFFFF" w:themeColor="background1"/>
              <w:right w:val="single" w:sz="18" w:space="0" w:color="auto"/>
            </w:tcBorders>
          </w:tcPr>
          <w:p w14:paraId="5F9477D0" w14:textId="77777777" w:rsidR="00F30F87" w:rsidRPr="00877E1A" w:rsidRDefault="00F30F87" w:rsidP="00F30F87">
            <w:pPr>
              <w:jc w:val="center"/>
              <w:rPr>
                <w:rFonts w:ascii="Arial" w:hAnsi="Arial" w:cs="Arial"/>
                <w:b/>
                <w:sz w:val="20"/>
                <w:szCs w:val="20"/>
              </w:rPr>
            </w:pPr>
          </w:p>
        </w:tc>
        <w:tc>
          <w:tcPr>
            <w:tcW w:w="5227"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5DC54DBD" w14:textId="77777777" w:rsidR="00F30F87" w:rsidRPr="00877E1A" w:rsidRDefault="00F30F87" w:rsidP="00F30F87">
            <w:pPr>
              <w:jc w:val="center"/>
              <w:rPr>
                <w:rFonts w:ascii="Arial" w:hAnsi="Arial" w:cs="Arial"/>
                <w:b/>
                <w:sz w:val="20"/>
                <w:szCs w:val="20"/>
              </w:rPr>
            </w:pPr>
            <w:r w:rsidRPr="00877E1A">
              <w:rPr>
                <w:rFonts w:ascii="Arial" w:hAnsi="Arial" w:cs="Arial"/>
                <w:b/>
                <w:sz w:val="20"/>
                <w:szCs w:val="20"/>
              </w:rPr>
              <w:t>Adopted Guidance</w:t>
            </w:r>
          </w:p>
        </w:tc>
      </w:tr>
      <w:tr w:rsidR="00F30F87" w:rsidRPr="00625186" w14:paraId="39ACADBE" w14:textId="77777777" w:rsidTr="00B01660">
        <w:tc>
          <w:tcPr>
            <w:tcW w:w="1413" w:type="dxa"/>
            <w:vMerge/>
            <w:tcBorders>
              <w:left w:val="single" w:sz="18" w:space="0" w:color="FFFFFF" w:themeColor="background1"/>
              <w:right w:val="single" w:sz="18" w:space="0" w:color="auto"/>
            </w:tcBorders>
          </w:tcPr>
          <w:p w14:paraId="530EC948" w14:textId="77777777" w:rsidR="00F30F87" w:rsidRPr="00B01660" w:rsidRDefault="00F30F87" w:rsidP="00F30F87">
            <w:pPr>
              <w:jc w:val="center"/>
              <w:rPr>
                <w:rFonts w:ascii="Arial" w:hAnsi="Arial" w:cs="Arial"/>
                <w:b/>
                <w:sz w:val="20"/>
                <w:szCs w:val="20"/>
              </w:rPr>
            </w:pPr>
          </w:p>
        </w:tc>
        <w:tc>
          <w:tcPr>
            <w:tcW w:w="1825" w:type="dxa"/>
            <w:tcBorders>
              <w:top w:val="single" w:sz="18" w:space="0" w:color="auto"/>
              <w:left w:val="single" w:sz="18" w:space="0" w:color="auto"/>
            </w:tcBorders>
          </w:tcPr>
          <w:p w14:paraId="794CB9C7" w14:textId="77777777" w:rsidR="00F30F87" w:rsidRPr="00B01660" w:rsidRDefault="00F30F87" w:rsidP="00F30F87">
            <w:pPr>
              <w:jc w:val="center"/>
              <w:rPr>
                <w:rFonts w:ascii="Arial" w:hAnsi="Arial" w:cs="Arial"/>
                <w:b/>
                <w:sz w:val="20"/>
                <w:szCs w:val="20"/>
              </w:rPr>
            </w:pPr>
            <w:r w:rsidRPr="00B01660">
              <w:rPr>
                <w:rFonts w:ascii="Arial" w:hAnsi="Arial" w:cs="Arial"/>
                <w:b/>
                <w:sz w:val="20"/>
                <w:szCs w:val="20"/>
              </w:rPr>
              <w:t>NoTMP</w:t>
            </w:r>
          </w:p>
        </w:tc>
        <w:tc>
          <w:tcPr>
            <w:tcW w:w="1842" w:type="dxa"/>
            <w:tcBorders>
              <w:top w:val="single" w:sz="18" w:space="0" w:color="auto"/>
            </w:tcBorders>
          </w:tcPr>
          <w:p w14:paraId="0F7FF358" w14:textId="77777777" w:rsidR="00F30F87" w:rsidRPr="00B01660" w:rsidRDefault="00F30F87" w:rsidP="00F30F87">
            <w:pPr>
              <w:jc w:val="center"/>
              <w:rPr>
                <w:rFonts w:ascii="Arial" w:hAnsi="Arial" w:cs="Arial"/>
                <w:b/>
                <w:sz w:val="20"/>
                <w:szCs w:val="20"/>
              </w:rPr>
            </w:pPr>
            <w:r w:rsidRPr="00B01660">
              <w:rPr>
                <w:rFonts w:ascii="Arial" w:hAnsi="Arial" w:cs="Arial"/>
                <w:b/>
                <w:sz w:val="20"/>
                <w:szCs w:val="20"/>
              </w:rPr>
              <w:t>Dev Brief</w:t>
            </w:r>
          </w:p>
        </w:tc>
        <w:tc>
          <w:tcPr>
            <w:tcW w:w="1560" w:type="dxa"/>
            <w:tcBorders>
              <w:top w:val="single" w:sz="18" w:space="0" w:color="auto"/>
              <w:right w:val="single" w:sz="18" w:space="0" w:color="auto"/>
            </w:tcBorders>
            <w:shd w:val="clear" w:color="auto" w:fill="FFE599" w:themeFill="accent4" w:themeFillTint="66"/>
          </w:tcPr>
          <w:p w14:paraId="3AA727BF" w14:textId="77777777" w:rsidR="00F30F87" w:rsidRPr="00B01660" w:rsidRDefault="00F30F87" w:rsidP="00F30F87">
            <w:pPr>
              <w:jc w:val="center"/>
              <w:rPr>
                <w:rFonts w:ascii="Arial" w:hAnsi="Arial" w:cs="Arial"/>
                <w:b/>
                <w:sz w:val="20"/>
                <w:szCs w:val="20"/>
              </w:rPr>
            </w:pPr>
            <w:r w:rsidRPr="00B01660">
              <w:rPr>
                <w:rFonts w:ascii="Arial" w:hAnsi="Arial" w:cs="Arial"/>
                <w:b/>
                <w:sz w:val="20"/>
                <w:szCs w:val="20"/>
              </w:rPr>
              <w:t>Prop</w:t>
            </w:r>
            <w:r w:rsidRPr="00B01660">
              <w:rPr>
                <w:rFonts w:ascii="Arial" w:hAnsi="Arial" w:cs="Arial"/>
                <w:b/>
                <w:sz w:val="20"/>
                <w:szCs w:val="20"/>
                <w:vertAlign w:val="superscript"/>
              </w:rPr>
              <w:t>n</w:t>
            </w:r>
          </w:p>
        </w:tc>
      </w:tr>
      <w:tr w:rsidR="00F30F87" w:rsidRPr="00625186" w14:paraId="4EF4A7B0" w14:textId="77777777" w:rsidTr="00B01660">
        <w:tc>
          <w:tcPr>
            <w:tcW w:w="1413" w:type="dxa"/>
            <w:vMerge/>
            <w:tcBorders>
              <w:left w:val="single" w:sz="18" w:space="0" w:color="FFFFFF" w:themeColor="background1"/>
              <w:bottom w:val="single" w:sz="18" w:space="0" w:color="auto"/>
              <w:right w:val="single" w:sz="18" w:space="0" w:color="auto"/>
            </w:tcBorders>
          </w:tcPr>
          <w:p w14:paraId="30922652" w14:textId="77777777" w:rsidR="00F30F87" w:rsidRPr="00B01660" w:rsidRDefault="00F30F87" w:rsidP="00F30F87">
            <w:pPr>
              <w:rPr>
                <w:rFonts w:ascii="Arial" w:hAnsi="Arial" w:cs="Arial"/>
                <w:b/>
                <w:sz w:val="20"/>
                <w:szCs w:val="20"/>
              </w:rPr>
            </w:pPr>
          </w:p>
        </w:tc>
        <w:tc>
          <w:tcPr>
            <w:tcW w:w="1825" w:type="dxa"/>
            <w:tcBorders>
              <w:left w:val="single" w:sz="18" w:space="0" w:color="auto"/>
            </w:tcBorders>
          </w:tcPr>
          <w:p w14:paraId="71D4D886" w14:textId="77777777" w:rsidR="00F30F87" w:rsidRPr="00B01660" w:rsidRDefault="00F30F87" w:rsidP="00F30F87">
            <w:pPr>
              <w:rPr>
                <w:rFonts w:ascii="Arial" w:hAnsi="Arial" w:cs="Arial"/>
                <w:b/>
                <w:sz w:val="20"/>
                <w:szCs w:val="20"/>
              </w:rPr>
            </w:pPr>
          </w:p>
        </w:tc>
        <w:tc>
          <w:tcPr>
            <w:tcW w:w="1842" w:type="dxa"/>
          </w:tcPr>
          <w:p w14:paraId="0D838A7D" w14:textId="77777777" w:rsidR="00F30F87" w:rsidRPr="00B01660" w:rsidRDefault="00F30F87" w:rsidP="00F30F87">
            <w:pPr>
              <w:rPr>
                <w:rFonts w:ascii="Arial" w:hAnsi="Arial" w:cs="Arial"/>
                <w:b/>
                <w:sz w:val="20"/>
                <w:szCs w:val="20"/>
              </w:rPr>
            </w:pPr>
          </w:p>
        </w:tc>
        <w:tc>
          <w:tcPr>
            <w:tcW w:w="1560" w:type="dxa"/>
            <w:tcBorders>
              <w:right w:val="single" w:sz="18" w:space="0" w:color="auto"/>
            </w:tcBorders>
            <w:shd w:val="clear" w:color="auto" w:fill="FFE599" w:themeFill="accent4" w:themeFillTint="66"/>
          </w:tcPr>
          <w:p w14:paraId="0A648FFE" w14:textId="77777777" w:rsidR="00F30F87" w:rsidRPr="00B01660" w:rsidRDefault="00F30F87" w:rsidP="00F30F87">
            <w:pPr>
              <w:rPr>
                <w:rFonts w:ascii="Arial" w:hAnsi="Arial" w:cs="Arial"/>
                <w:b/>
                <w:sz w:val="20"/>
                <w:szCs w:val="20"/>
                <w:vertAlign w:val="superscript"/>
              </w:rPr>
            </w:pPr>
          </w:p>
        </w:tc>
      </w:tr>
      <w:tr w:rsidR="00F30F87" w:rsidRPr="00625186" w14:paraId="4A53B390" w14:textId="77777777" w:rsidTr="00B01660">
        <w:tc>
          <w:tcPr>
            <w:tcW w:w="1413" w:type="dxa"/>
            <w:tcBorders>
              <w:top w:val="single" w:sz="18" w:space="0" w:color="auto"/>
              <w:left w:val="single" w:sz="18" w:space="0" w:color="auto"/>
              <w:bottom w:val="single" w:sz="12" w:space="0" w:color="auto"/>
              <w:right w:val="single" w:sz="18" w:space="0" w:color="auto"/>
            </w:tcBorders>
            <w:shd w:val="clear" w:color="auto" w:fill="DEEAF6" w:themeFill="accent1" w:themeFillTint="33"/>
          </w:tcPr>
          <w:p w14:paraId="1AD1EF6B" w14:textId="77777777" w:rsidR="00F30F87" w:rsidRPr="00877E1A" w:rsidRDefault="00F30F87" w:rsidP="00F30F87">
            <w:pPr>
              <w:rPr>
                <w:rFonts w:ascii="Arial" w:hAnsi="Arial" w:cs="Arial"/>
                <w:b/>
                <w:sz w:val="20"/>
                <w:szCs w:val="20"/>
              </w:rPr>
            </w:pPr>
            <w:r w:rsidRPr="00877E1A">
              <w:rPr>
                <w:rFonts w:ascii="Arial" w:hAnsi="Arial" w:cs="Arial"/>
                <w:b/>
                <w:sz w:val="20"/>
                <w:szCs w:val="20"/>
              </w:rPr>
              <w:t>Bldg Heights (storeys)</w:t>
            </w:r>
          </w:p>
        </w:tc>
        <w:tc>
          <w:tcPr>
            <w:tcW w:w="1825" w:type="dxa"/>
            <w:tcBorders>
              <w:left w:val="single" w:sz="18" w:space="0" w:color="auto"/>
              <w:bottom w:val="single" w:sz="12" w:space="0" w:color="auto"/>
            </w:tcBorders>
          </w:tcPr>
          <w:p w14:paraId="02DAA59B"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5½</w:t>
            </w:r>
          </w:p>
        </w:tc>
        <w:tc>
          <w:tcPr>
            <w:tcW w:w="1842" w:type="dxa"/>
            <w:tcBorders>
              <w:bottom w:val="single" w:sz="12" w:space="0" w:color="auto"/>
            </w:tcBorders>
          </w:tcPr>
          <w:p w14:paraId="190FD499"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4 to 6</w:t>
            </w:r>
          </w:p>
        </w:tc>
        <w:tc>
          <w:tcPr>
            <w:tcW w:w="1560" w:type="dxa"/>
            <w:tcBorders>
              <w:bottom w:val="single" w:sz="12" w:space="0" w:color="auto"/>
              <w:right w:val="single" w:sz="18" w:space="0" w:color="auto"/>
            </w:tcBorders>
            <w:shd w:val="clear" w:color="auto" w:fill="FFE599" w:themeFill="accent4" w:themeFillTint="66"/>
          </w:tcPr>
          <w:p w14:paraId="0F5BA849"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n/a</w:t>
            </w:r>
          </w:p>
        </w:tc>
      </w:tr>
      <w:tr w:rsidR="00F30F87" w:rsidRPr="00625186" w14:paraId="7D5D2B43" w14:textId="77777777" w:rsidTr="00B01660">
        <w:tc>
          <w:tcPr>
            <w:tcW w:w="1413" w:type="dxa"/>
            <w:tcBorders>
              <w:top w:val="single" w:sz="12" w:space="0" w:color="auto"/>
              <w:left w:val="single" w:sz="18" w:space="0" w:color="auto"/>
              <w:bottom w:val="single" w:sz="12" w:space="0" w:color="auto"/>
              <w:right w:val="single" w:sz="18" w:space="0" w:color="auto"/>
            </w:tcBorders>
            <w:shd w:val="clear" w:color="auto" w:fill="DEEAF6" w:themeFill="accent1" w:themeFillTint="33"/>
          </w:tcPr>
          <w:p w14:paraId="081C7A40" w14:textId="77777777" w:rsidR="00F30F87" w:rsidRPr="00877E1A" w:rsidRDefault="00F30F87" w:rsidP="00D232C3">
            <w:pPr>
              <w:rPr>
                <w:rFonts w:ascii="Arial" w:hAnsi="Arial" w:cs="Arial"/>
                <w:b/>
                <w:sz w:val="20"/>
                <w:szCs w:val="20"/>
              </w:rPr>
            </w:pPr>
            <w:r w:rsidRPr="00877E1A">
              <w:rPr>
                <w:rFonts w:ascii="Arial" w:hAnsi="Arial" w:cs="Arial"/>
                <w:b/>
                <w:sz w:val="20"/>
                <w:szCs w:val="20"/>
              </w:rPr>
              <w:t>Hsg units</w:t>
            </w:r>
          </w:p>
        </w:tc>
        <w:tc>
          <w:tcPr>
            <w:tcW w:w="1825" w:type="dxa"/>
            <w:tcBorders>
              <w:top w:val="single" w:sz="12" w:space="0" w:color="auto"/>
              <w:left w:val="single" w:sz="18" w:space="0" w:color="auto"/>
              <w:bottom w:val="single" w:sz="12" w:space="0" w:color="auto"/>
            </w:tcBorders>
          </w:tcPr>
          <w:p w14:paraId="478AA20C"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300 approx</w:t>
            </w:r>
          </w:p>
          <w:p w14:paraId="2C777410" w14:textId="09DA4638" w:rsidR="00F30F87" w:rsidRPr="00877E1A" w:rsidRDefault="00F30F87" w:rsidP="00D232C3">
            <w:pPr>
              <w:jc w:val="center"/>
              <w:rPr>
                <w:rFonts w:ascii="Arial" w:hAnsi="Arial" w:cs="Arial"/>
                <w:sz w:val="16"/>
                <w:szCs w:val="16"/>
              </w:rPr>
            </w:pPr>
            <w:r w:rsidRPr="00877E1A">
              <w:rPr>
                <w:rFonts w:ascii="Arial" w:hAnsi="Arial" w:cs="Arial"/>
                <w:sz w:val="16"/>
                <w:szCs w:val="16"/>
              </w:rPr>
              <w:t>(</w:t>
            </w:r>
            <w:r w:rsidR="00D232C3" w:rsidRPr="00877E1A">
              <w:rPr>
                <w:rFonts w:ascii="Arial" w:hAnsi="Arial" w:cs="Arial"/>
                <w:sz w:val="16"/>
                <w:szCs w:val="16"/>
              </w:rPr>
              <w:t>expectation of 12.5% of affordable (under now abandoned Policy H3)</w:t>
            </w:r>
            <w:r w:rsidRPr="00877E1A">
              <w:rPr>
                <w:rFonts w:ascii="Arial" w:hAnsi="Arial" w:cs="Arial"/>
                <w:sz w:val="16"/>
                <w:szCs w:val="16"/>
              </w:rPr>
              <w:t>)</w:t>
            </w:r>
          </w:p>
        </w:tc>
        <w:tc>
          <w:tcPr>
            <w:tcW w:w="1842" w:type="dxa"/>
            <w:tcBorders>
              <w:top w:val="single" w:sz="12" w:space="0" w:color="auto"/>
              <w:bottom w:val="single" w:sz="12" w:space="0" w:color="auto"/>
            </w:tcBorders>
          </w:tcPr>
          <w:p w14:paraId="7DAC4B26" w14:textId="77777777" w:rsidR="00D232C3" w:rsidRPr="00877E1A" w:rsidRDefault="00F30F87" w:rsidP="00F30F87">
            <w:pPr>
              <w:rPr>
                <w:rFonts w:ascii="Arial" w:hAnsi="Arial" w:cs="Arial"/>
                <w:sz w:val="16"/>
                <w:szCs w:val="16"/>
              </w:rPr>
            </w:pPr>
            <w:r w:rsidRPr="00877E1A">
              <w:rPr>
                <w:rFonts w:ascii="Arial" w:hAnsi="Arial" w:cs="Arial"/>
                <w:sz w:val="16"/>
                <w:szCs w:val="16"/>
              </w:rPr>
              <w:t>Not specified</w:t>
            </w:r>
          </w:p>
          <w:p w14:paraId="55CBD9A1" w14:textId="77777777" w:rsidR="00F30F87" w:rsidRPr="00877E1A" w:rsidRDefault="00D232C3" w:rsidP="00F30F87">
            <w:pPr>
              <w:rPr>
                <w:rFonts w:ascii="Arial" w:hAnsi="Arial" w:cs="Arial"/>
                <w:sz w:val="16"/>
                <w:szCs w:val="16"/>
              </w:rPr>
            </w:pPr>
            <w:r w:rsidRPr="00877E1A">
              <w:rPr>
                <w:rFonts w:ascii="Arial" w:hAnsi="Arial" w:cs="Arial"/>
                <w:sz w:val="16"/>
                <w:szCs w:val="16"/>
              </w:rPr>
              <w:t xml:space="preserve">(but Minister to </w:t>
            </w:r>
            <w:r w:rsidRPr="00877E1A">
              <w:rPr>
                <w:rFonts w:ascii="Arial" w:hAnsi="Arial" w:cs="Arial"/>
                <w:i/>
                <w:sz w:val="16"/>
                <w:szCs w:val="16"/>
              </w:rPr>
              <w:t>encourage</w:t>
            </w:r>
            <w:r w:rsidRPr="00877E1A">
              <w:rPr>
                <w:rFonts w:ascii="Arial" w:hAnsi="Arial" w:cs="Arial"/>
                <w:sz w:val="16"/>
                <w:szCs w:val="16"/>
              </w:rPr>
              <w:t xml:space="preserve"> some affordable provision)</w:t>
            </w:r>
          </w:p>
        </w:tc>
        <w:tc>
          <w:tcPr>
            <w:tcW w:w="1560" w:type="dxa"/>
            <w:tcBorders>
              <w:top w:val="single" w:sz="12" w:space="0" w:color="auto"/>
              <w:bottom w:val="single" w:sz="12" w:space="0" w:color="auto"/>
              <w:right w:val="single" w:sz="18" w:space="0" w:color="auto"/>
            </w:tcBorders>
            <w:shd w:val="clear" w:color="auto" w:fill="FFE599" w:themeFill="accent4" w:themeFillTint="66"/>
          </w:tcPr>
          <w:p w14:paraId="0868D3D4"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110</w:t>
            </w:r>
          </w:p>
          <w:p w14:paraId="3893136E" w14:textId="77777777" w:rsidR="00F30F87" w:rsidRPr="00877E1A" w:rsidRDefault="00F30F87" w:rsidP="00F30F87">
            <w:pPr>
              <w:jc w:val="center"/>
              <w:rPr>
                <w:rFonts w:ascii="Arial" w:hAnsi="Arial" w:cs="Arial"/>
                <w:sz w:val="20"/>
                <w:szCs w:val="20"/>
              </w:rPr>
            </w:pPr>
            <w:r w:rsidRPr="00877E1A">
              <w:rPr>
                <w:rFonts w:ascii="Arial" w:hAnsi="Arial" w:cs="Arial"/>
                <w:sz w:val="16"/>
                <w:szCs w:val="16"/>
              </w:rPr>
              <w:t>(</w:t>
            </w:r>
            <w:r w:rsidRPr="00877E1A">
              <w:rPr>
                <w:rFonts w:ascii="Arial" w:hAnsi="Arial" w:cs="Arial"/>
                <w:i/>
                <w:sz w:val="16"/>
                <w:szCs w:val="16"/>
              </w:rPr>
              <w:t xml:space="preserve">some </w:t>
            </w:r>
            <w:r w:rsidRPr="00877E1A">
              <w:rPr>
                <w:rFonts w:ascii="Arial" w:hAnsi="Arial" w:cs="Arial"/>
                <w:sz w:val="16"/>
                <w:szCs w:val="16"/>
              </w:rPr>
              <w:t>affordable)</w:t>
            </w:r>
          </w:p>
        </w:tc>
      </w:tr>
      <w:tr w:rsidR="00F30F87" w:rsidRPr="00625186" w14:paraId="0E263497" w14:textId="77777777" w:rsidTr="00B01660">
        <w:tc>
          <w:tcPr>
            <w:tcW w:w="1413" w:type="dxa"/>
            <w:tcBorders>
              <w:top w:val="single" w:sz="12" w:space="0" w:color="auto"/>
              <w:left w:val="single" w:sz="18" w:space="0" w:color="auto"/>
              <w:right w:val="single" w:sz="18" w:space="0" w:color="auto"/>
            </w:tcBorders>
            <w:shd w:val="clear" w:color="auto" w:fill="DEEAF6" w:themeFill="accent1" w:themeFillTint="33"/>
          </w:tcPr>
          <w:p w14:paraId="7A51B467" w14:textId="77777777" w:rsidR="00F30F87" w:rsidRPr="00877E1A" w:rsidRDefault="00F30F87" w:rsidP="00F30F87">
            <w:pPr>
              <w:rPr>
                <w:rFonts w:ascii="Arial" w:hAnsi="Arial" w:cs="Arial"/>
                <w:b/>
                <w:sz w:val="20"/>
                <w:szCs w:val="20"/>
              </w:rPr>
            </w:pPr>
            <w:r w:rsidRPr="00877E1A">
              <w:rPr>
                <w:rFonts w:ascii="Arial" w:hAnsi="Arial" w:cs="Arial"/>
                <w:b/>
                <w:sz w:val="20"/>
                <w:szCs w:val="20"/>
              </w:rPr>
              <w:t xml:space="preserve">Parking:        </w:t>
            </w:r>
          </w:p>
          <w:p w14:paraId="2B82D86B" w14:textId="77777777" w:rsidR="00F30F87" w:rsidRPr="00877E1A" w:rsidRDefault="00F30F87" w:rsidP="00F30F87">
            <w:pPr>
              <w:rPr>
                <w:rFonts w:ascii="Arial" w:hAnsi="Arial" w:cs="Arial"/>
                <w:b/>
                <w:sz w:val="20"/>
                <w:szCs w:val="20"/>
              </w:rPr>
            </w:pPr>
            <w:r w:rsidRPr="00877E1A">
              <w:rPr>
                <w:rFonts w:ascii="Arial" w:hAnsi="Arial" w:cs="Arial"/>
                <w:b/>
                <w:sz w:val="20"/>
                <w:szCs w:val="20"/>
              </w:rPr>
              <w:t xml:space="preserve">             Resi</w:t>
            </w:r>
          </w:p>
        </w:tc>
        <w:tc>
          <w:tcPr>
            <w:tcW w:w="1825" w:type="dxa"/>
            <w:tcBorders>
              <w:top w:val="single" w:sz="12" w:space="0" w:color="auto"/>
              <w:left w:val="single" w:sz="18" w:space="0" w:color="auto"/>
            </w:tcBorders>
          </w:tcPr>
          <w:p w14:paraId="55B5443B"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180</w:t>
            </w:r>
          </w:p>
        </w:tc>
        <w:tc>
          <w:tcPr>
            <w:tcW w:w="1842" w:type="dxa"/>
            <w:tcBorders>
              <w:top w:val="single" w:sz="12" w:space="0" w:color="auto"/>
            </w:tcBorders>
          </w:tcPr>
          <w:p w14:paraId="26077097" w14:textId="77777777" w:rsidR="00F30F87" w:rsidRPr="00877E1A" w:rsidRDefault="00F30F87" w:rsidP="00F30F87">
            <w:pPr>
              <w:rPr>
                <w:rFonts w:ascii="Arial" w:hAnsi="Arial" w:cs="Arial"/>
                <w:sz w:val="16"/>
                <w:szCs w:val="16"/>
              </w:rPr>
            </w:pPr>
            <w:r w:rsidRPr="00877E1A">
              <w:rPr>
                <w:rFonts w:ascii="Arial" w:hAnsi="Arial" w:cs="Arial"/>
                <w:sz w:val="16"/>
                <w:szCs w:val="16"/>
              </w:rPr>
              <w:t>Not specified – encourage use of innovative parking solutions</w:t>
            </w:r>
          </w:p>
        </w:tc>
        <w:tc>
          <w:tcPr>
            <w:tcW w:w="1560" w:type="dxa"/>
            <w:vMerge w:val="restart"/>
            <w:tcBorders>
              <w:top w:val="single" w:sz="12" w:space="0" w:color="auto"/>
              <w:right w:val="single" w:sz="18" w:space="0" w:color="auto"/>
            </w:tcBorders>
            <w:shd w:val="clear" w:color="auto" w:fill="FFE599" w:themeFill="accent4" w:themeFillTint="66"/>
            <w:vAlign w:val="center"/>
          </w:tcPr>
          <w:p w14:paraId="06770C94"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150-200</w:t>
            </w:r>
          </w:p>
          <w:p w14:paraId="202A3454"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total</w:t>
            </w:r>
          </w:p>
        </w:tc>
      </w:tr>
      <w:tr w:rsidR="00F30F87" w:rsidRPr="00625186" w14:paraId="244610EC" w14:textId="77777777" w:rsidTr="00B01660">
        <w:tc>
          <w:tcPr>
            <w:tcW w:w="1413" w:type="dxa"/>
            <w:tcBorders>
              <w:left w:val="single" w:sz="18" w:space="0" w:color="auto"/>
              <w:bottom w:val="single" w:sz="4" w:space="0" w:color="auto"/>
              <w:right w:val="single" w:sz="18" w:space="0" w:color="auto"/>
            </w:tcBorders>
            <w:shd w:val="clear" w:color="auto" w:fill="DEEAF6" w:themeFill="accent1" w:themeFillTint="33"/>
          </w:tcPr>
          <w:p w14:paraId="6ABC2F90" w14:textId="77777777" w:rsidR="00F30F87" w:rsidRPr="00877E1A" w:rsidRDefault="00F30F87" w:rsidP="00F30F87">
            <w:pPr>
              <w:jc w:val="right"/>
              <w:rPr>
                <w:rFonts w:ascii="Arial" w:hAnsi="Arial" w:cs="Arial"/>
                <w:b/>
                <w:sz w:val="20"/>
                <w:szCs w:val="20"/>
              </w:rPr>
            </w:pPr>
            <w:r w:rsidRPr="00877E1A">
              <w:rPr>
                <w:rFonts w:ascii="Arial" w:hAnsi="Arial" w:cs="Arial"/>
                <w:b/>
                <w:sz w:val="20"/>
                <w:szCs w:val="20"/>
              </w:rPr>
              <w:t>Public</w:t>
            </w:r>
          </w:p>
        </w:tc>
        <w:tc>
          <w:tcPr>
            <w:tcW w:w="1825" w:type="dxa"/>
            <w:tcBorders>
              <w:left w:val="single" w:sz="18" w:space="0" w:color="auto"/>
              <w:bottom w:val="single" w:sz="4" w:space="0" w:color="auto"/>
            </w:tcBorders>
          </w:tcPr>
          <w:p w14:paraId="507995AE"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138</w:t>
            </w:r>
          </w:p>
        </w:tc>
        <w:tc>
          <w:tcPr>
            <w:tcW w:w="1842" w:type="dxa"/>
            <w:tcBorders>
              <w:bottom w:val="single" w:sz="4" w:space="0" w:color="auto"/>
            </w:tcBorders>
          </w:tcPr>
          <w:p w14:paraId="63702367" w14:textId="77777777" w:rsidR="00F30F87" w:rsidRPr="00877E1A" w:rsidRDefault="00F30F87" w:rsidP="00F30F87">
            <w:pPr>
              <w:rPr>
                <w:rFonts w:ascii="Arial" w:hAnsi="Arial" w:cs="Arial"/>
                <w:sz w:val="16"/>
                <w:szCs w:val="16"/>
              </w:rPr>
            </w:pPr>
            <w:r w:rsidRPr="00877E1A">
              <w:rPr>
                <w:rFonts w:ascii="Arial" w:hAnsi="Arial" w:cs="Arial"/>
                <w:sz w:val="16"/>
                <w:szCs w:val="16"/>
              </w:rPr>
              <w:t xml:space="preserve">None – commuted sum in lieu </w:t>
            </w:r>
          </w:p>
        </w:tc>
        <w:tc>
          <w:tcPr>
            <w:tcW w:w="1560" w:type="dxa"/>
            <w:vMerge/>
            <w:tcBorders>
              <w:bottom w:val="single" w:sz="4" w:space="0" w:color="auto"/>
              <w:right w:val="single" w:sz="18" w:space="0" w:color="auto"/>
            </w:tcBorders>
            <w:shd w:val="clear" w:color="auto" w:fill="FFE599" w:themeFill="accent4" w:themeFillTint="66"/>
          </w:tcPr>
          <w:p w14:paraId="600B1589" w14:textId="77777777" w:rsidR="00F30F87" w:rsidRPr="00877E1A" w:rsidRDefault="00F30F87" w:rsidP="00F30F87">
            <w:pPr>
              <w:jc w:val="center"/>
              <w:rPr>
                <w:rFonts w:ascii="Arial" w:hAnsi="Arial" w:cs="Arial"/>
                <w:sz w:val="20"/>
                <w:szCs w:val="20"/>
              </w:rPr>
            </w:pPr>
          </w:p>
        </w:tc>
      </w:tr>
      <w:tr w:rsidR="00F30F87" w:rsidRPr="00625186" w14:paraId="426ADA8F" w14:textId="77777777" w:rsidTr="00B01660">
        <w:tc>
          <w:tcPr>
            <w:tcW w:w="1413" w:type="dxa"/>
            <w:tcBorders>
              <w:top w:val="single" w:sz="4" w:space="0" w:color="auto"/>
              <w:left w:val="single" w:sz="18" w:space="0" w:color="auto"/>
              <w:bottom w:val="single" w:sz="12" w:space="0" w:color="auto"/>
              <w:right w:val="single" w:sz="18" w:space="0" w:color="auto"/>
            </w:tcBorders>
            <w:shd w:val="clear" w:color="auto" w:fill="DEEAF6" w:themeFill="accent1" w:themeFillTint="33"/>
          </w:tcPr>
          <w:p w14:paraId="2F03F3A5" w14:textId="77777777" w:rsidR="00F30F87" w:rsidRPr="00877E1A" w:rsidRDefault="00F30F87" w:rsidP="00F30F87">
            <w:pPr>
              <w:jc w:val="right"/>
              <w:rPr>
                <w:rFonts w:ascii="Arial" w:hAnsi="Arial" w:cs="Arial"/>
                <w:b/>
                <w:sz w:val="20"/>
                <w:szCs w:val="20"/>
              </w:rPr>
            </w:pPr>
            <w:r w:rsidRPr="00877E1A">
              <w:rPr>
                <w:rFonts w:ascii="Arial" w:hAnsi="Arial" w:cs="Arial"/>
                <w:b/>
                <w:sz w:val="20"/>
                <w:szCs w:val="20"/>
              </w:rPr>
              <w:t>Cycles</w:t>
            </w:r>
          </w:p>
        </w:tc>
        <w:tc>
          <w:tcPr>
            <w:tcW w:w="1825" w:type="dxa"/>
            <w:tcBorders>
              <w:top w:val="single" w:sz="4" w:space="0" w:color="auto"/>
              <w:left w:val="single" w:sz="18" w:space="0" w:color="auto"/>
              <w:bottom w:val="single" w:sz="12" w:space="0" w:color="auto"/>
            </w:tcBorders>
          </w:tcPr>
          <w:p w14:paraId="45A6C67A"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n/a</w:t>
            </w:r>
          </w:p>
        </w:tc>
        <w:tc>
          <w:tcPr>
            <w:tcW w:w="1842" w:type="dxa"/>
            <w:tcBorders>
              <w:top w:val="single" w:sz="4" w:space="0" w:color="auto"/>
              <w:bottom w:val="single" w:sz="12" w:space="0" w:color="auto"/>
            </w:tcBorders>
          </w:tcPr>
          <w:p w14:paraId="2A18FF61" w14:textId="77777777" w:rsidR="00F30F87" w:rsidRPr="00877E1A" w:rsidRDefault="00F30F87" w:rsidP="00F30F87">
            <w:pPr>
              <w:rPr>
                <w:rFonts w:ascii="Arial" w:hAnsi="Arial" w:cs="Arial"/>
                <w:sz w:val="16"/>
                <w:szCs w:val="16"/>
              </w:rPr>
            </w:pPr>
            <w:r w:rsidRPr="00877E1A">
              <w:rPr>
                <w:rFonts w:ascii="Arial" w:hAnsi="Arial" w:cs="Arial"/>
                <w:sz w:val="16"/>
                <w:szCs w:val="16"/>
              </w:rPr>
              <w:t>1 No space for 1/2 x bed homes + 2 No spaces for 3+bed homes. Some visitor spaces req’d</w:t>
            </w:r>
          </w:p>
        </w:tc>
        <w:tc>
          <w:tcPr>
            <w:tcW w:w="1560" w:type="dxa"/>
            <w:tcBorders>
              <w:top w:val="single" w:sz="4" w:space="0" w:color="auto"/>
              <w:bottom w:val="single" w:sz="12" w:space="0" w:color="auto"/>
              <w:right w:val="single" w:sz="18" w:space="0" w:color="auto"/>
            </w:tcBorders>
            <w:shd w:val="clear" w:color="auto" w:fill="FFE599" w:themeFill="accent4" w:themeFillTint="66"/>
          </w:tcPr>
          <w:p w14:paraId="1C09E38A"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n/a</w:t>
            </w:r>
          </w:p>
        </w:tc>
      </w:tr>
      <w:tr w:rsidR="00F30F87" w:rsidRPr="00625186" w14:paraId="01C3D900" w14:textId="77777777" w:rsidTr="00B01660">
        <w:tc>
          <w:tcPr>
            <w:tcW w:w="1413" w:type="dxa"/>
            <w:tcBorders>
              <w:top w:val="single" w:sz="12" w:space="0" w:color="auto"/>
              <w:left w:val="single" w:sz="18" w:space="0" w:color="auto"/>
              <w:bottom w:val="single" w:sz="18" w:space="0" w:color="auto"/>
              <w:right w:val="single" w:sz="18" w:space="0" w:color="auto"/>
            </w:tcBorders>
            <w:shd w:val="clear" w:color="auto" w:fill="DEEAF6" w:themeFill="accent1" w:themeFillTint="33"/>
          </w:tcPr>
          <w:p w14:paraId="184F66FC" w14:textId="77777777" w:rsidR="00F30F87" w:rsidRPr="00877E1A" w:rsidRDefault="00F30F87" w:rsidP="00F30F87">
            <w:pPr>
              <w:rPr>
                <w:rFonts w:ascii="Arial" w:hAnsi="Arial" w:cs="Arial"/>
                <w:b/>
                <w:sz w:val="20"/>
                <w:szCs w:val="20"/>
              </w:rPr>
            </w:pPr>
            <w:r w:rsidRPr="00877E1A">
              <w:rPr>
                <w:rFonts w:ascii="Arial" w:hAnsi="Arial" w:cs="Arial"/>
                <w:b/>
                <w:sz w:val="20"/>
                <w:szCs w:val="20"/>
              </w:rPr>
              <w:t>Town Park extn (sq.m)</w:t>
            </w:r>
          </w:p>
        </w:tc>
        <w:tc>
          <w:tcPr>
            <w:tcW w:w="1825" w:type="dxa"/>
            <w:tcBorders>
              <w:top w:val="single" w:sz="12" w:space="0" w:color="auto"/>
              <w:left w:val="single" w:sz="18" w:space="0" w:color="auto"/>
              <w:bottom w:val="single" w:sz="18" w:space="0" w:color="auto"/>
            </w:tcBorders>
          </w:tcPr>
          <w:p w14:paraId="392E8C84"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n/a</w:t>
            </w:r>
          </w:p>
        </w:tc>
        <w:tc>
          <w:tcPr>
            <w:tcW w:w="1842" w:type="dxa"/>
            <w:tcBorders>
              <w:top w:val="single" w:sz="12" w:space="0" w:color="auto"/>
              <w:bottom w:val="single" w:sz="18" w:space="0" w:color="auto"/>
            </w:tcBorders>
          </w:tcPr>
          <w:p w14:paraId="49D17BEB"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n/a</w:t>
            </w:r>
          </w:p>
        </w:tc>
        <w:tc>
          <w:tcPr>
            <w:tcW w:w="1560" w:type="dxa"/>
            <w:tcBorders>
              <w:top w:val="single" w:sz="12" w:space="0" w:color="auto"/>
              <w:bottom w:val="single" w:sz="18" w:space="0" w:color="auto"/>
              <w:right w:val="single" w:sz="18" w:space="0" w:color="auto"/>
            </w:tcBorders>
            <w:shd w:val="clear" w:color="auto" w:fill="FFE599" w:themeFill="accent4" w:themeFillTint="66"/>
          </w:tcPr>
          <w:p w14:paraId="048BC9A8" w14:textId="77777777" w:rsidR="00F30F87" w:rsidRPr="00877E1A" w:rsidRDefault="00F30F87" w:rsidP="00F30F87">
            <w:pPr>
              <w:jc w:val="center"/>
              <w:rPr>
                <w:rFonts w:ascii="Arial" w:hAnsi="Arial" w:cs="Arial"/>
                <w:sz w:val="20"/>
                <w:szCs w:val="20"/>
              </w:rPr>
            </w:pPr>
            <w:r w:rsidRPr="00877E1A">
              <w:rPr>
                <w:rFonts w:ascii="Arial" w:hAnsi="Arial" w:cs="Arial"/>
                <w:sz w:val="20"/>
                <w:szCs w:val="20"/>
              </w:rPr>
              <w:t>5,460</w:t>
            </w:r>
          </w:p>
        </w:tc>
      </w:tr>
    </w:tbl>
    <w:p w14:paraId="5168737F" w14:textId="77777777" w:rsidR="00FD2A44" w:rsidRPr="00877E1A" w:rsidRDefault="00FD2A44" w:rsidP="00DC576B">
      <w:pPr>
        <w:rPr>
          <w:rFonts w:ascii="Arial" w:hAnsi="Arial" w:cs="Arial"/>
        </w:rPr>
      </w:pPr>
    </w:p>
    <w:p w14:paraId="2F23A635" w14:textId="77777777" w:rsidR="00FD2A44" w:rsidRPr="00877E1A" w:rsidRDefault="00FD2A44" w:rsidP="00DC576B">
      <w:pPr>
        <w:rPr>
          <w:rFonts w:ascii="Arial" w:hAnsi="Arial" w:cs="Arial"/>
        </w:rPr>
      </w:pPr>
    </w:p>
    <w:p w14:paraId="05AC0C49" w14:textId="77777777" w:rsidR="005F30AD" w:rsidRPr="00877E1A" w:rsidRDefault="005F30AD" w:rsidP="00DC576B">
      <w:pPr>
        <w:rPr>
          <w:rFonts w:ascii="Arial" w:hAnsi="Arial" w:cs="Arial"/>
        </w:rPr>
      </w:pPr>
    </w:p>
    <w:p w14:paraId="345FF582" w14:textId="77777777" w:rsidR="00F5261E" w:rsidRPr="00877E1A" w:rsidRDefault="00F5261E" w:rsidP="00DC576B">
      <w:pPr>
        <w:rPr>
          <w:rFonts w:ascii="Arial" w:hAnsi="Arial" w:cs="Arial"/>
        </w:rPr>
      </w:pPr>
    </w:p>
    <w:p w14:paraId="605A3D6A" w14:textId="77777777" w:rsidR="00F33A2D" w:rsidRPr="00877E1A" w:rsidRDefault="00F33A2D" w:rsidP="00DC576B">
      <w:pPr>
        <w:rPr>
          <w:rFonts w:ascii="Arial" w:hAnsi="Arial" w:cs="Arial"/>
        </w:rPr>
      </w:pPr>
    </w:p>
    <w:p w14:paraId="00F2E666" w14:textId="77777777" w:rsidR="00F33A2D" w:rsidRPr="00877E1A" w:rsidRDefault="00F33A2D" w:rsidP="00DC576B">
      <w:pPr>
        <w:rPr>
          <w:rFonts w:ascii="Arial" w:hAnsi="Arial" w:cs="Arial"/>
        </w:rPr>
      </w:pPr>
    </w:p>
    <w:p w14:paraId="017D9733" w14:textId="77777777" w:rsidR="00F33A2D" w:rsidRPr="00877E1A" w:rsidRDefault="00F33A2D" w:rsidP="00DC576B">
      <w:pPr>
        <w:rPr>
          <w:rFonts w:ascii="Arial" w:hAnsi="Arial" w:cs="Arial"/>
        </w:rPr>
      </w:pPr>
    </w:p>
    <w:p w14:paraId="4A1E1F39" w14:textId="77777777" w:rsidR="00F33A2D" w:rsidRPr="00877E1A" w:rsidRDefault="00F33A2D" w:rsidP="00DC576B">
      <w:pPr>
        <w:rPr>
          <w:rFonts w:ascii="Arial" w:hAnsi="Arial" w:cs="Arial"/>
        </w:rPr>
      </w:pPr>
    </w:p>
    <w:p w14:paraId="00A0ACAE" w14:textId="77777777" w:rsidR="00F33A2D" w:rsidRPr="00877E1A" w:rsidRDefault="00F33A2D" w:rsidP="00DC576B">
      <w:pPr>
        <w:rPr>
          <w:rFonts w:ascii="Arial" w:hAnsi="Arial" w:cs="Arial"/>
        </w:rPr>
      </w:pPr>
    </w:p>
    <w:p w14:paraId="2F0D47B5" w14:textId="77777777" w:rsidR="00F33A2D" w:rsidRPr="00877E1A" w:rsidRDefault="00F33A2D" w:rsidP="00DC576B">
      <w:pPr>
        <w:rPr>
          <w:rFonts w:ascii="Arial" w:hAnsi="Arial" w:cs="Arial"/>
        </w:rPr>
      </w:pPr>
    </w:p>
    <w:p w14:paraId="2B84C2F2" w14:textId="77777777" w:rsidR="00F5261E" w:rsidRPr="00877E1A" w:rsidRDefault="00F5261E" w:rsidP="00DC576B">
      <w:pPr>
        <w:rPr>
          <w:rFonts w:ascii="Arial" w:hAnsi="Arial" w:cs="Arial"/>
        </w:rPr>
      </w:pPr>
    </w:p>
    <w:p w14:paraId="1F379B3D" w14:textId="77777777" w:rsidR="00F5261E" w:rsidRPr="00877E1A" w:rsidRDefault="00F5261E" w:rsidP="00DC576B">
      <w:pPr>
        <w:rPr>
          <w:rFonts w:ascii="Arial" w:hAnsi="Arial" w:cs="Arial"/>
        </w:rPr>
      </w:pPr>
    </w:p>
    <w:p w14:paraId="334B42C6" w14:textId="77777777" w:rsidR="00F5261E" w:rsidRPr="00877E1A" w:rsidRDefault="00F5261E" w:rsidP="00DC576B">
      <w:pPr>
        <w:rPr>
          <w:rFonts w:ascii="Arial" w:hAnsi="Arial" w:cs="Arial"/>
        </w:rPr>
      </w:pPr>
    </w:p>
    <w:p w14:paraId="694D6C53" w14:textId="77777777" w:rsidR="00DC576B" w:rsidRPr="00877E1A" w:rsidRDefault="00DC576B">
      <w:pPr>
        <w:rPr>
          <w:rFonts w:ascii="Arial" w:hAnsi="Arial" w:cs="Arial"/>
          <w:b/>
        </w:rPr>
      </w:pPr>
    </w:p>
    <w:p w14:paraId="5A418BCC" w14:textId="77777777" w:rsidR="006E5076" w:rsidRPr="00877E1A" w:rsidRDefault="006E5076">
      <w:pPr>
        <w:rPr>
          <w:rFonts w:ascii="Arial" w:hAnsi="Arial" w:cs="Arial"/>
          <w:b/>
        </w:rPr>
      </w:pPr>
    </w:p>
    <w:p w14:paraId="1F9CF8F6" w14:textId="77777777" w:rsidR="006E5076" w:rsidRPr="00877E1A" w:rsidRDefault="006E5076">
      <w:pPr>
        <w:rPr>
          <w:rFonts w:ascii="Arial" w:hAnsi="Arial" w:cs="Arial"/>
          <w:b/>
        </w:rPr>
      </w:pPr>
    </w:p>
    <w:p w14:paraId="6407C5C3" w14:textId="77777777" w:rsidR="00DC576B" w:rsidRPr="00877E1A" w:rsidRDefault="00DC576B">
      <w:pPr>
        <w:rPr>
          <w:rFonts w:ascii="Arial" w:hAnsi="Arial" w:cs="Arial"/>
          <w:b/>
        </w:rPr>
      </w:pPr>
    </w:p>
    <w:p w14:paraId="193AC639" w14:textId="77777777" w:rsidR="00E133DE" w:rsidRPr="00877E1A" w:rsidRDefault="00E133DE">
      <w:pPr>
        <w:rPr>
          <w:rFonts w:ascii="Arial" w:hAnsi="Arial" w:cs="Arial"/>
          <w:b/>
          <w:color w:val="FF0000"/>
        </w:rPr>
      </w:pPr>
    </w:p>
    <w:p w14:paraId="7ED34043" w14:textId="77777777" w:rsidR="00D232C3" w:rsidRPr="00877E1A" w:rsidRDefault="00D232C3">
      <w:pPr>
        <w:rPr>
          <w:rFonts w:ascii="Arial" w:hAnsi="Arial" w:cs="Arial"/>
          <w:b/>
          <w:color w:val="FF0000"/>
        </w:rPr>
      </w:pPr>
    </w:p>
    <w:p w14:paraId="09553617" w14:textId="77777777" w:rsidR="00575553" w:rsidRDefault="00575553">
      <w:pPr>
        <w:rPr>
          <w:rFonts w:ascii="Arial" w:hAnsi="Arial" w:cs="Arial"/>
          <w:b/>
          <w:color w:val="FF0000"/>
        </w:rPr>
      </w:pPr>
    </w:p>
    <w:p w14:paraId="2508CBA0" w14:textId="77777777" w:rsidR="00625186" w:rsidRDefault="00625186">
      <w:pPr>
        <w:rPr>
          <w:rFonts w:ascii="Arial" w:hAnsi="Arial" w:cs="Arial"/>
          <w:b/>
          <w:color w:val="FF0000"/>
        </w:rPr>
      </w:pPr>
    </w:p>
    <w:p w14:paraId="5D788699" w14:textId="77777777" w:rsidR="00625186" w:rsidRDefault="00625186">
      <w:pPr>
        <w:rPr>
          <w:rFonts w:ascii="Arial" w:hAnsi="Arial" w:cs="Arial"/>
          <w:b/>
          <w:color w:val="FF0000"/>
        </w:rPr>
      </w:pPr>
      <w:r>
        <w:rPr>
          <w:rFonts w:ascii="Arial" w:hAnsi="Arial" w:cs="Arial"/>
          <w:b/>
          <w:color w:val="FF0000"/>
        </w:rPr>
        <w:br w:type="page"/>
      </w:r>
    </w:p>
    <w:p w14:paraId="23E70BDA" w14:textId="77777777" w:rsidR="00E133DE" w:rsidRPr="00877E1A" w:rsidRDefault="00E133DE">
      <w:pPr>
        <w:rPr>
          <w:rFonts w:ascii="Arial" w:hAnsi="Arial" w:cs="Arial"/>
          <w:b/>
        </w:rPr>
      </w:pPr>
      <w:r w:rsidRPr="00877E1A">
        <w:rPr>
          <w:rFonts w:ascii="Arial" w:hAnsi="Arial" w:cs="Arial"/>
          <w:b/>
        </w:rPr>
        <w:lastRenderedPageBreak/>
        <w:t xml:space="preserve">4. </w:t>
      </w:r>
      <w:r w:rsidR="00530AC7" w:rsidRPr="00877E1A">
        <w:rPr>
          <w:rFonts w:ascii="Arial" w:hAnsi="Arial" w:cs="Arial"/>
          <w:b/>
        </w:rPr>
        <w:t xml:space="preserve">Extant </w:t>
      </w:r>
      <w:r w:rsidR="009D2287" w:rsidRPr="00877E1A">
        <w:rPr>
          <w:rFonts w:ascii="Arial" w:hAnsi="Arial" w:cs="Arial"/>
          <w:b/>
        </w:rPr>
        <w:t>p</w:t>
      </w:r>
      <w:r w:rsidR="00530AC7" w:rsidRPr="00877E1A">
        <w:rPr>
          <w:rFonts w:ascii="Arial" w:hAnsi="Arial" w:cs="Arial"/>
          <w:b/>
        </w:rPr>
        <w:t xml:space="preserve">lanning </w:t>
      </w:r>
      <w:r w:rsidR="009D2287" w:rsidRPr="00877E1A">
        <w:rPr>
          <w:rFonts w:ascii="Arial" w:hAnsi="Arial" w:cs="Arial"/>
          <w:b/>
        </w:rPr>
        <w:t>g</w:t>
      </w:r>
      <w:r w:rsidR="00530AC7" w:rsidRPr="00877E1A">
        <w:rPr>
          <w:rFonts w:ascii="Arial" w:hAnsi="Arial" w:cs="Arial"/>
          <w:b/>
        </w:rPr>
        <w:t xml:space="preserve">uidance vs </w:t>
      </w:r>
      <w:r w:rsidR="009D2287" w:rsidRPr="00877E1A">
        <w:rPr>
          <w:rFonts w:ascii="Arial" w:hAnsi="Arial" w:cs="Arial"/>
          <w:b/>
        </w:rPr>
        <w:t>t</w:t>
      </w:r>
      <w:r w:rsidR="00530AC7" w:rsidRPr="00877E1A">
        <w:rPr>
          <w:rFonts w:ascii="Arial" w:hAnsi="Arial" w:cs="Arial"/>
          <w:b/>
        </w:rPr>
        <w:t>he Proposition</w:t>
      </w:r>
    </w:p>
    <w:p w14:paraId="71BE60F7" w14:textId="77777777" w:rsidR="00530AC7" w:rsidRPr="00877E1A" w:rsidRDefault="00530AC7">
      <w:pPr>
        <w:rPr>
          <w:rFonts w:ascii="Arial" w:hAnsi="Arial" w:cs="Arial"/>
          <w:b/>
        </w:rPr>
      </w:pPr>
    </w:p>
    <w:p w14:paraId="2F9ADB78" w14:textId="15C47AD7" w:rsidR="00530AC7" w:rsidRPr="00877E1A" w:rsidRDefault="00575553">
      <w:pPr>
        <w:rPr>
          <w:rFonts w:ascii="Arial" w:hAnsi="Arial" w:cs="Arial"/>
          <w:b/>
        </w:rPr>
      </w:pPr>
      <w:r w:rsidRPr="00877E1A">
        <w:rPr>
          <w:rFonts w:ascii="Arial" w:hAnsi="Arial" w:cs="Arial"/>
          <w:b/>
        </w:rPr>
        <w:t>North of Town Masterplan</w:t>
      </w:r>
      <w:r w:rsidRPr="00877E1A" w:rsidDel="00575553">
        <w:rPr>
          <w:rFonts w:ascii="Arial" w:hAnsi="Arial" w:cs="Arial"/>
          <w:b/>
        </w:rPr>
        <w:t xml:space="preserve"> </w:t>
      </w:r>
      <w:r w:rsidRPr="00877E1A">
        <w:rPr>
          <w:rFonts w:ascii="Arial" w:hAnsi="Arial" w:cs="Arial"/>
          <w:b/>
        </w:rPr>
        <w:t>(</w:t>
      </w:r>
      <w:r w:rsidR="00530AC7" w:rsidRPr="00877E1A">
        <w:rPr>
          <w:rFonts w:ascii="Arial" w:hAnsi="Arial" w:cs="Arial"/>
          <w:b/>
        </w:rPr>
        <w:t>NoTMP</w:t>
      </w:r>
      <w:r w:rsidRPr="00877E1A">
        <w:rPr>
          <w:rFonts w:ascii="Arial" w:hAnsi="Arial" w:cs="Arial"/>
          <w:b/>
        </w:rPr>
        <w:t>)</w:t>
      </w:r>
    </w:p>
    <w:p w14:paraId="62E24842" w14:textId="77777777" w:rsidR="00B75F2C" w:rsidRPr="00877E1A" w:rsidRDefault="00B75F2C" w:rsidP="00B75F2C">
      <w:pPr>
        <w:rPr>
          <w:rFonts w:ascii="Arial" w:hAnsi="Arial" w:cs="Arial"/>
        </w:rPr>
      </w:pPr>
      <w:r w:rsidRPr="00877E1A">
        <w:rPr>
          <w:rFonts w:ascii="Arial" w:hAnsi="Arial" w:cs="Arial"/>
        </w:rPr>
        <w:t xml:space="preserve">The site is identified in the NoTMP as being one of nine Key Intervention Sites and appropriate for a significant new residential development as part of a strategy to ‘kick-start’ the regeneration of the older, more established parts of town. </w:t>
      </w:r>
    </w:p>
    <w:p w14:paraId="1DFAF8A0" w14:textId="77777777" w:rsidR="00B75F2C" w:rsidRPr="00877E1A" w:rsidRDefault="00B75F2C" w:rsidP="00B75F2C">
      <w:pPr>
        <w:rPr>
          <w:rFonts w:ascii="Arial" w:hAnsi="Arial" w:cs="Arial"/>
        </w:rPr>
      </w:pPr>
    </w:p>
    <w:p w14:paraId="4020D423" w14:textId="77777777" w:rsidR="00575553" w:rsidRPr="00877E1A" w:rsidRDefault="00B75F2C" w:rsidP="002E3C44">
      <w:pPr>
        <w:rPr>
          <w:rFonts w:ascii="Arial" w:hAnsi="Arial" w:cs="Arial"/>
          <w:i/>
        </w:rPr>
      </w:pPr>
      <w:r w:rsidRPr="00877E1A">
        <w:rPr>
          <w:rFonts w:ascii="Arial" w:hAnsi="Arial" w:cs="Arial"/>
        </w:rPr>
        <w:t>The J</w:t>
      </w:r>
      <w:r w:rsidR="00530AC7" w:rsidRPr="00877E1A">
        <w:rPr>
          <w:rFonts w:ascii="Arial" w:hAnsi="Arial" w:cs="Arial"/>
        </w:rPr>
        <w:t>ersey</w:t>
      </w:r>
      <w:r w:rsidRPr="00877E1A">
        <w:rPr>
          <w:rFonts w:ascii="Arial" w:hAnsi="Arial" w:cs="Arial"/>
        </w:rPr>
        <w:t xml:space="preserve"> Gas site is described as being  “…</w:t>
      </w:r>
      <w:r w:rsidRPr="00877E1A">
        <w:rPr>
          <w:rFonts w:ascii="Arial" w:hAnsi="Arial" w:cs="Arial"/>
          <w:i/>
        </w:rPr>
        <w:t>suitable for a significant new residential development should it become surplus to the Gas Company’s requirements…The Revised Masterplan proposes 24,000 sq,m of housing development (approx. 300 dwellings), enclosing public open space, with underground car parking spaces for residents and commuters…</w:t>
      </w:r>
      <w:r w:rsidR="00530AC7" w:rsidRPr="00877E1A">
        <w:rPr>
          <w:rFonts w:ascii="Arial" w:hAnsi="Arial" w:cs="Arial"/>
          <w:i/>
        </w:rPr>
        <w:t>”</w:t>
      </w:r>
      <w:r w:rsidR="009D2287" w:rsidRPr="00877E1A">
        <w:rPr>
          <w:rFonts w:ascii="Arial" w:hAnsi="Arial" w:cs="Arial"/>
          <w:i/>
        </w:rPr>
        <w:t>.</w:t>
      </w:r>
      <w:r w:rsidR="00177F44" w:rsidRPr="00877E1A">
        <w:rPr>
          <w:rFonts w:ascii="Arial" w:hAnsi="Arial" w:cs="Arial"/>
          <w:i/>
        </w:rPr>
        <w:t xml:space="preserve"> </w:t>
      </w:r>
    </w:p>
    <w:p w14:paraId="46771D87" w14:textId="77777777" w:rsidR="00575553" w:rsidRPr="00877E1A" w:rsidRDefault="00575553" w:rsidP="002E3C44">
      <w:pPr>
        <w:rPr>
          <w:rFonts w:ascii="Arial" w:hAnsi="Arial" w:cs="Arial"/>
          <w:i/>
        </w:rPr>
      </w:pPr>
    </w:p>
    <w:p w14:paraId="20B9CD03" w14:textId="77777777" w:rsidR="009D2287" w:rsidRPr="00877E1A" w:rsidRDefault="009D2287" w:rsidP="009D2287">
      <w:pPr>
        <w:rPr>
          <w:rFonts w:ascii="Arial" w:hAnsi="Arial" w:cs="Arial"/>
        </w:rPr>
      </w:pPr>
      <w:r w:rsidRPr="00877E1A">
        <w:rPr>
          <w:rFonts w:ascii="Arial" w:hAnsi="Arial" w:cs="Arial"/>
        </w:rPr>
        <w:t>The Proposition is, therefore, at variance with the NoTMP in terms of proposed yield of housing units</w:t>
      </w:r>
      <w:r w:rsidR="00177F44" w:rsidRPr="00877E1A">
        <w:rPr>
          <w:rFonts w:ascii="Arial" w:hAnsi="Arial" w:cs="Arial"/>
        </w:rPr>
        <w:t xml:space="preserve"> specifically for the Jersey Gas site</w:t>
      </w:r>
      <w:r w:rsidRPr="00877E1A">
        <w:rPr>
          <w:rFonts w:ascii="Arial" w:hAnsi="Arial" w:cs="Arial"/>
        </w:rPr>
        <w:t>. The adopted Proposition</w:t>
      </w:r>
      <w:r w:rsidR="00177F44" w:rsidRPr="00877E1A">
        <w:rPr>
          <w:rFonts w:ascii="Arial" w:hAnsi="Arial" w:cs="Arial"/>
        </w:rPr>
        <w:t>, however,</w:t>
      </w:r>
      <w:r w:rsidRPr="00877E1A">
        <w:rPr>
          <w:rFonts w:ascii="Arial" w:hAnsi="Arial" w:cs="Arial"/>
        </w:rPr>
        <w:t xml:space="preserve"> </w:t>
      </w:r>
      <w:r w:rsidR="00177F44" w:rsidRPr="00877E1A">
        <w:rPr>
          <w:rFonts w:ascii="Arial" w:hAnsi="Arial" w:cs="Arial"/>
        </w:rPr>
        <w:t xml:space="preserve">explicitly acknowledged and </w:t>
      </w:r>
      <w:r w:rsidRPr="00877E1A">
        <w:rPr>
          <w:rFonts w:ascii="Arial" w:hAnsi="Arial" w:cs="Arial"/>
        </w:rPr>
        <w:t>addressed this expected shortfall (approximately 190 units) with the following statement:-</w:t>
      </w:r>
    </w:p>
    <w:p w14:paraId="12FAB06D" w14:textId="77777777" w:rsidR="009D2287" w:rsidRPr="00877E1A" w:rsidRDefault="009D2287" w:rsidP="009D2287">
      <w:pPr>
        <w:rPr>
          <w:rFonts w:ascii="Arial" w:hAnsi="Arial" w:cs="Arial"/>
        </w:rPr>
      </w:pPr>
    </w:p>
    <w:p w14:paraId="364F1240" w14:textId="77777777" w:rsidR="009D2287" w:rsidRPr="00877E1A" w:rsidRDefault="009D2287" w:rsidP="009D2287">
      <w:pPr>
        <w:shd w:val="clear" w:color="auto" w:fill="FFFFFF" w:themeFill="background1"/>
        <w:rPr>
          <w:rFonts w:ascii="Arial" w:hAnsi="Arial" w:cs="Arial"/>
          <w:i/>
        </w:rPr>
      </w:pPr>
      <w:r w:rsidRPr="00877E1A">
        <w:rPr>
          <w:rFonts w:ascii="Arial" w:hAnsi="Arial" w:cs="Arial"/>
          <w:i/>
        </w:rPr>
        <w:t>“The acquisition of the site has also enabled Andium Homes to take a strategic and joined-up approach to regeneration in this part of town…Andium Homes already has a large housing portfolio in the area and other planned developments which will deliver an additional 600 new affordable homes in the vicinity…which make it possible to continue to deliver homes in the area, as envisaged by the North of Town Masterplan, whilst also enhancing the level of public open space in the locality by extending the Millennium Town Park”</w:t>
      </w:r>
      <w:r w:rsidRPr="00877E1A">
        <w:rPr>
          <w:rStyle w:val="FootnoteReference"/>
          <w:rFonts w:ascii="Arial" w:hAnsi="Arial" w:cs="Arial"/>
          <w:i/>
        </w:rPr>
        <w:footnoteReference w:id="7"/>
      </w:r>
      <w:r w:rsidRPr="00877E1A">
        <w:rPr>
          <w:rFonts w:ascii="Arial" w:hAnsi="Arial" w:cs="Arial"/>
          <w:i/>
        </w:rPr>
        <w:t>.</w:t>
      </w:r>
    </w:p>
    <w:p w14:paraId="127BF420" w14:textId="77777777" w:rsidR="009D2287" w:rsidRPr="00877E1A" w:rsidRDefault="009D2287" w:rsidP="009D2287">
      <w:pPr>
        <w:shd w:val="clear" w:color="auto" w:fill="FFFFFF" w:themeFill="background1"/>
        <w:rPr>
          <w:rFonts w:ascii="Arial" w:hAnsi="Arial" w:cs="Arial"/>
        </w:rPr>
      </w:pPr>
    </w:p>
    <w:p w14:paraId="38511F0E" w14:textId="379D3D1B" w:rsidR="009D2287" w:rsidRPr="00877E1A" w:rsidRDefault="009D2287" w:rsidP="009D2287">
      <w:pPr>
        <w:rPr>
          <w:rFonts w:ascii="Arial" w:hAnsi="Arial" w:cs="Arial"/>
        </w:rPr>
      </w:pPr>
      <w:r w:rsidRPr="00877E1A">
        <w:rPr>
          <w:rFonts w:ascii="Arial" w:hAnsi="Arial" w:cs="Arial"/>
        </w:rPr>
        <w:t xml:space="preserve">The States </w:t>
      </w:r>
      <w:r w:rsidR="00F30F87" w:rsidRPr="00877E1A">
        <w:rPr>
          <w:rFonts w:ascii="Arial" w:hAnsi="Arial" w:cs="Arial"/>
        </w:rPr>
        <w:t>Assembly</w:t>
      </w:r>
      <w:r w:rsidRPr="00877E1A">
        <w:rPr>
          <w:rFonts w:ascii="Arial" w:hAnsi="Arial" w:cs="Arial"/>
        </w:rPr>
        <w:t xml:space="preserve"> has, therefore, already given consideration to the issue of </w:t>
      </w:r>
      <w:r w:rsidR="00177F44" w:rsidRPr="00877E1A">
        <w:rPr>
          <w:rFonts w:ascii="Arial" w:hAnsi="Arial" w:cs="Arial"/>
        </w:rPr>
        <w:t xml:space="preserve">specific </w:t>
      </w:r>
      <w:r w:rsidRPr="00877E1A">
        <w:rPr>
          <w:rFonts w:ascii="Arial" w:hAnsi="Arial" w:cs="Arial"/>
        </w:rPr>
        <w:t xml:space="preserve">variance with the NoTMP and concluded, quite clearly, that its primary </w:t>
      </w:r>
      <w:r w:rsidR="00177F44" w:rsidRPr="00877E1A">
        <w:rPr>
          <w:rFonts w:ascii="Arial" w:hAnsi="Arial" w:cs="Arial"/>
        </w:rPr>
        <w:t xml:space="preserve">strategic </w:t>
      </w:r>
      <w:r w:rsidRPr="00877E1A">
        <w:rPr>
          <w:rFonts w:ascii="Arial" w:hAnsi="Arial" w:cs="Arial"/>
        </w:rPr>
        <w:t>objectives</w:t>
      </w:r>
      <w:r w:rsidR="00177F44" w:rsidRPr="00877E1A">
        <w:rPr>
          <w:rFonts w:ascii="Arial" w:hAnsi="Arial" w:cs="Arial"/>
        </w:rPr>
        <w:t xml:space="preserve"> - of </w:t>
      </w:r>
      <w:r w:rsidRPr="00877E1A">
        <w:rPr>
          <w:rFonts w:ascii="Arial" w:hAnsi="Arial" w:cs="Arial"/>
        </w:rPr>
        <w:t>regeneration, provision of new homes and parking, and the enhancement / creation of public open space</w:t>
      </w:r>
      <w:r w:rsidR="00177F44" w:rsidRPr="00877E1A">
        <w:rPr>
          <w:rFonts w:ascii="Arial" w:hAnsi="Arial" w:cs="Arial"/>
        </w:rPr>
        <w:t xml:space="preserve"> - </w:t>
      </w:r>
      <w:r w:rsidRPr="00877E1A">
        <w:rPr>
          <w:rFonts w:ascii="Arial" w:hAnsi="Arial" w:cs="Arial"/>
        </w:rPr>
        <w:t>will still be met within the wider context of Andium</w:t>
      </w:r>
      <w:r w:rsidR="00D73747" w:rsidRPr="00877E1A">
        <w:rPr>
          <w:rFonts w:ascii="Arial" w:hAnsi="Arial" w:cs="Arial"/>
        </w:rPr>
        <w:t xml:space="preserve"> Homes</w:t>
      </w:r>
      <w:r w:rsidRPr="00877E1A">
        <w:rPr>
          <w:rFonts w:ascii="Arial" w:hAnsi="Arial" w:cs="Arial"/>
        </w:rPr>
        <w:t xml:space="preserve">’ portfolio and </w:t>
      </w:r>
      <w:r w:rsidR="00292CB5" w:rsidRPr="00877E1A">
        <w:rPr>
          <w:rFonts w:ascii="Arial" w:hAnsi="Arial" w:cs="Arial"/>
        </w:rPr>
        <w:t xml:space="preserve">its </w:t>
      </w:r>
      <w:r w:rsidRPr="00877E1A">
        <w:rPr>
          <w:rFonts w:ascii="Arial" w:hAnsi="Arial" w:cs="Arial"/>
        </w:rPr>
        <w:t>long-term development programme</w:t>
      </w:r>
      <w:r w:rsidR="00292CB5" w:rsidRPr="00877E1A">
        <w:rPr>
          <w:rFonts w:ascii="Arial" w:hAnsi="Arial" w:cs="Arial"/>
        </w:rPr>
        <w:t xml:space="preserve"> (see Andium Homes Annual Report 2017 p.4-6: </w:t>
      </w:r>
      <w:hyperlink r:id="rId9" w:history="1">
        <w:r w:rsidR="00292CB5" w:rsidRPr="00877E1A">
          <w:rPr>
            <w:rStyle w:val="Hyperlink"/>
            <w:rFonts w:ascii="Arial" w:hAnsi="Arial" w:cs="Arial"/>
          </w:rPr>
          <w:t>https://andiumhomesje.azurewebsites.net/wp-content/uploads/Andium-Homes-Annual-Report-2017.pdf</w:t>
        </w:r>
      </w:hyperlink>
      <w:r w:rsidR="00292CB5" w:rsidRPr="00877E1A">
        <w:rPr>
          <w:rFonts w:ascii="Arial" w:hAnsi="Arial" w:cs="Arial"/>
        </w:rPr>
        <w:t xml:space="preserve">) </w:t>
      </w:r>
      <w:r w:rsidRPr="00877E1A">
        <w:rPr>
          <w:rFonts w:ascii="Arial" w:hAnsi="Arial" w:cs="Arial"/>
        </w:rPr>
        <w:t xml:space="preserve">. </w:t>
      </w:r>
    </w:p>
    <w:p w14:paraId="1B21351A" w14:textId="77777777" w:rsidR="00575553" w:rsidRPr="00877E1A" w:rsidRDefault="00575553" w:rsidP="009D2287">
      <w:pPr>
        <w:rPr>
          <w:rFonts w:ascii="Arial" w:hAnsi="Arial" w:cs="Arial"/>
        </w:rPr>
      </w:pPr>
    </w:p>
    <w:p w14:paraId="63FEF831" w14:textId="77777777" w:rsidR="00575553" w:rsidRPr="00877E1A" w:rsidRDefault="00575553" w:rsidP="00575553">
      <w:pPr>
        <w:rPr>
          <w:rFonts w:ascii="Arial" w:hAnsi="Arial" w:cs="Arial"/>
        </w:rPr>
      </w:pPr>
      <w:r w:rsidRPr="00877E1A">
        <w:rPr>
          <w:rFonts w:ascii="Arial" w:hAnsi="Arial" w:cs="Arial"/>
        </w:rPr>
        <w:t xml:space="preserve">It is relevant to note that the NoTMP sets indicative levels of residential floorspace and approximate housing yields for the number of homes to be delivered </w:t>
      </w:r>
      <w:r w:rsidRPr="00877E1A">
        <w:rPr>
          <w:rFonts w:ascii="Arial" w:hAnsi="Arial" w:cs="Arial"/>
          <w:u w:val="single"/>
        </w:rPr>
        <w:t>only</w:t>
      </w:r>
      <w:r w:rsidR="00D73747" w:rsidRPr="00877E1A">
        <w:rPr>
          <w:rFonts w:ascii="Arial" w:hAnsi="Arial" w:cs="Arial"/>
          <w:u w:val="single"/>
        </w:rPr>
        <w:t xml:space="preserve"> on</w:t>
      </w:r>
      <w:r w:rsidRPr="00877E1A">
        <w:rPr>
          <w:rFonts w:ascii="Arial" w:hAnsi="Arial" w:cs="Arial"/>
          <w:u w:val="single"/>
        </w:rPr>
        <w:t xml:space="preserve"> some key sites</w:t>
      </w:r>
      <w:r w:rsidRPr="00877E1A">
        <w:rPr>
          <w:rFonts w:ascii="Arial" w:hAnsi="Arial" w:cs="Arial"/>
        </w:rPr>
        <w:t xml:space="preserve"> in the north of town (</w:t>
      </w:r>
      <w:r w:rsidR="00D73747" w:rsidRPr="00877E1A">
        <w:rPr>
          <w:rFonts w:ascii="Arial" w:hAnsi="Arial" w:cs="Arial"/>
        </w:rPr>
        <w:t>for example,</w:t>
      </w:r>
      <w:r w:rsidRPr="00877E1A">
        <w:rPr>
          <w:rFonts w:ascii="Arial" w:hAnsi="Arial" w:cs="Arial"/>
        </w:rPr>
        <w:t xml:space="preserve"> no </w:t>
      </w:r>
      <w:r w:rsidR="00D73747" w:rsidRPr="00877E1A">
        <w:rPr>
          <w:rFonts w:ascii="Arial" w:hAnsi="Arial" w:cs="Arial"/>
        </w:rPr>
        <w:t xml:space="preserve">residential development </w:t>
      </w:r>
      <w:r w:rsidRPr="00877E1A">
        <w:rPr>
          <w:rFonts w:ascii="Arial" w:hAnsi="Arial" w:cs="Arial"/>
        </w:rPr>
        <w:t>yield is specified for the Ann Street Brewery site</w:t>
      </w:r>
      <w:r w:rsidR="00D73747" w:rsidRPr="00877E1A">
        <w:rPr>
          <w:rFonts w:ascii="Arial" w:hAnsi="Arial" w:cs="Arial"/>
        </w:rPr>
        <w:t xml:space="preserve"> (which has also been acquired by Andium Homes)</w:t>
      </w:r>
      <w:r w:rsidRPr="00877E1A">
        <w:rPr>
          <w:rFonts w:ascii="Arial" w:hAnsi="Arial" w:cs="Arial"/>
        </w:rPr>
        <w:t>)</w:t>
      </w:r>
      <w:r w:rsidR="00D73747" w:rsidRPr="00877E1A">
        <w:rPr>
          <w:rFonts w:ascii="Arial" w:hAnsi="Arial" w:cs="Arial"/>
        </w:rPr>
        <w:t>. And</w:t>
      </w:r>
      <w:r w:rsidRPr="00877E1A">
        <w:rPr>
          <w:rFonts w:ascii="Arial" w:hAnsi="Arial" w:cs="Arial"/>
        </w:rPr>
        <w:t xml:space="preserve"> it does not set an overall housing ‘target’ to be delivered in this part of St. Helier. In this sense, the NoTMP should be regarded as being both strategic and flexible</w:t>
      </w:r>
      <w:r w:rsidR="00D73747" w:rsidRPr="00877E1A">
        <w:rPr>
          <w:rFonts w:ascii="Arial" w:hAnsi="Arial" w:cs="Arial"/>
        </w:rPr>
        <w:t>;</w:t>
      </w:r>
      <w:r w:rsidRPr="00877E1A">
        <w:rPr>
          <w:rFonts w:ascii="Arial" w:hAnsi="Arial" w:cs="Arial"/>
        </w:rPr>
        <w:t xml:space="preserve"> its primary purpose being to catalyse development opportunities on sites where this is possible, and to set out broad forms of development to be delivered, which includes both new residential development and public open space</w:t>
      </w:r>
      <w:r w:rsidR="00D73747" w:rsidRPr="00877E1A">
        <w:rPr>
          <w:rFonts w:ascii="Arial" w:hAnsi="Arial" w:cs="Arial"/>
        </w:rPr>
        <w:t>.</w:t>
      </w:r>
      <w:r w:rsidRPr="00877E1A">
        <w:rPr>
          <w:rFonts w:ascii="Arial" w:hAnsi="Arial" w:cs="Arial"/>
        </w:rPr>
        <w:t xml:space="preserve"> </w:t>
      </w:r>
      <w:r w:rsidR="00D73747" w:rsidRPr="00877E1A">
        <w:rPr>
          <w:rFonts w:ascii="Arial" w:hAnsi="Arial" w:cs="Arial"/>
        </w:rPr>
        <w:t>I</w:t>
      </w:r>
      <w:r w:rsidRPr="00877E1A">
        <w:rPr>
          <w:rFonts w:ascii="Arial" w:hAnsi="Arial" w:cs="Arial"/>
        </w:rPr>
        <w:t xml:space="preserve">t is considered that any variance of indicative housing yields, where it is specified, </w:t>
      </w:r>
      <w:r w:rsidRPr="00877E1A">
        <w:rPr>
          <w:rFonts w:ascii="Arial" w:hAnsi="Arial" w:cs="Arial"/>
        </w:rPr>
        <w:lastRenderedPageBreak/>
        <w:t xml:space="preserve">can be flexibly accommodated across the development </w:t>
      </w:r>
      <w:r w:rsidR="00D73747" w:rsidRPr="00877E1A">
        <w:rPr>
          <w:rFonts w:ascii="Arial" w:hAnsi="Arial" w:cs="Arial"/>
        </w:rPr>
        <w:t>of all key sites identified in the masterplan.</w:t>
      </w:r>
    </w:p>
    <w:p w14:paraId="3A03FF00" w14:textId="77777777" w:rsidR="009D2287" w:rsidRPr="00877E1A" w:rsidRDefault="009D2287" w:rsidP="009D2287">
      <w:pPr>
        <w:rPr>
          <w:rFonts w:ascii="Arial" w:hAnsi="Arial" w:cs="Arial"/>
        </w:rPr>
      </w:pPr>
    </w:p>
    <w:p w14:paraId="465A6F21" w14:textId="263E0A74" w:rsidR="00530AC7" w:rsidRPr="00877E1A" w:rsidRDefault="00D73747" w:rsidP="002E3C44">
      <w:pPr>
        <w:rPr>
          <w:rFonts w:ascii="Arial" w:hAnsi="Arial" w:cs="Arial"/>
        </w:rPr>
      </w:pPr>
      <w:r w:rsidRPr="00877E1A">
        <w:rPr>
          <w:rFonts w:ascii="Arial" w:hAnsi="Arial" w:cs="Arial"/>
          <w:b/>
        </w:rPr>
        <w:t>Jersey Gas Site Development Brief (</w:t>
      </w:r>
      <w:r w:rsidR="009D2287" w:rsidRPr="00877E1A">
        <w:rPr>
          <w:rFonts w:ascii="Arial" w:hAnsi="Arial" w:cs="Arial"/>
          <w:b/>
        </w:rPr>
        <w:t>The Brief</w:t>
      </w:r>
      <w:r w:rsidRPr="00877E1A">
        <w:rPr>
          <w:rFonts w:ascii="Arial" w:hAnsi="Arial" w:cs="Arial"/>
          <w:b/>
        </w:rPr>
        <w:t>)</w:t>
      </w:r>
    </w:p>
    <w:p w14:paraId="16660D72" w14:textId="3523CF38" w:rsidR="006B799D" w:rsidRPr="00877E1A" w:rsidRDefault="00530AC7" w:rsidP="002E3C44">
      <w:pPr>
        <w:rPr>
          <w:rFonts w:ascii="Arial" w:hAnsi="Arial" w:cs="Arial"/>
        </w:rPr>
      </w:pPr>
      <w:r w:rsidRPr="00877E1A">
        <w:rPr>
          <w:rFonts w:ascii="Arial" w:hAnsi="Arial" w:cs="Arial"/>
        </w:rPr>
        <w:t>The Development Brief buil</w:t>
      </w:r>
      <w:r w:rsidR="00A37F74">
        <w:rPr>
          <w:rFonts w:ascii="Arial" w:hAnsi="Arial" w:cs="Arial"/>
        </w:rPr>
        <w:t>ds</w:t>
      </w:r>
      <w:r w:rsidRPr="00877E1A">
        <w:rPr>
          <w:rFonts w:ascii="Arial" w:hAnsi="Arial" w:cs="Arial"/>
        </w:rPr>
        <w:t xml:space="preserve"> on the NoTMP’s framework approach and</w:t>
      </w:r>
      <w:r w:rsidR="002E3C44" w:rsidRPr="00877E1A">
        <w:rPr>
          <w:rFonts w:ascii="Arial" w:hAnsi="Arial" w:cs="Arial"/>
        </w:rPr>
        <w:t xml:space="preserve"> encourages the provision of new, affordable homes for purchase and of mixed tenure to respond to requirements, by size and type of home, of the Island’s need.</w:t>
      </w:r>
    </w:p>
    <w:p w14:paraId="641E9AB0" w14:textId="77777777" w:rsidR="006B799D" w:rsidRPr="00877E1A" w:rsidRDefault="006B799D" w:rsidP="002E3C44">
      <w:pPr>
        <w:rPr>
          <w:rFonts w:ascii="Arial" w:hAnsi="Arial" w:cs="Arial"/>
        </w:rPr>
      </w:pPr>
    </w:p>
    <w:p w14:paraId="05214EB2" w14:textId="39D17155" w:rsidR="006B799D" w:rsidRPr="00877E1A" w:rsidRDefault="006B799D" w:rsidP="002E3C44">
      <w:pPr>
        <w:rPr>
          <w:rFonts w:ascii="Arial" w:hAnsi="Arial" w:cs="Arial"/>
        </w:rPr>
      </w:pPr>
      <w:r w:rsidRPr="00877E1A">
        <w:rPr>
          <w:rFonts w:ascii="Arial" w:hAnsi="Arial" w:cs="Arial"/>
        </w:rPr>
        <w:t>Some key aims of the development brief, of relevance to the Proposition, are that any development here should:</w:t>
      </w:r>
    </w:p>
    <w:p w14:paraId="69D4C6B2" w14:textId="77777777" w:rsidR="006B799D" w:rsidRPr="00877E1A" w:rsidRDefault="006B799D" w:rsidP="002E3C44">
      <w:pPr>
        <w:rPr>
          <w:rFonts w:ascii="Arial" w:hAnsi="Arial" w:cs="Arial"/>
        </w:rPr>
      </w:pPr>
    </w:p>
    <w:p w14:paraId="22D7982C" w14:textId="77777777" w:rsidR="006B799D" w:rsidRPr="00877E1A" w:rsidRDefault="006B799D" w:rsidP="00877E1A">
      <w:pPr>
        <w:pStyle w:val="ListParagraph"/>
        <w:numPr>
          <w:ilvl w:val="0"/>
          <w:numId w:val="6"/>
        </w:numPr>
        <w:rPr>
          <w:rFonts w:ascii="Arial" w:hAnsi="Arial" w:cs="Arial"/>
          <w:bCs/>
        </w:rPr>
      </w:pPr>
      <w:r w:rsidRPr="00877E1A">
        <w:rPr>
          <w:rFonts w:ascii="Arial" w:hAnsi="Arial" w:cs="Arial"/>
          <w:bCs/>
        </w:rPr>
        <w:t>provide a predominantly residential development that contributes to the provision of affordable homes;</w:t>
      </w:r>
    </w:p>
    <w:p w14:paraId="43F58CFA" w14:textId="77777777" w:rsidR="006B799D" w:rsidRPr="00877E1A" w:rsidRDefault="006B799D" w:rsidP="00877E1A">
      <w:pPr>
        <w:pStyle w:val="ListParagraph"/>
        <w:numPr>
          <w:ilvl w:val="0"/>
          <w:numId w:val="6"/>
        </w:numPr>
        <w:rPr>
          <w:rFonts w:ascii="Arial" w:hAnsi="Arial" w:cs="Arial"/>
        </w:rPr>
      </w:pPr>
      <w:r w:rsidRPr="00877E1A">
        <w:rPr>
          <w:rFonts w:ascii="Arial" w:hAnsi="Arial" w:cs="Arial"/>
          <w:bCs/>
        </w:rPr>
        <w:t>contribute towards the enhancement of the public realm in the immediate locality and also the North of Town area;</w:t>
      </w:r>
    </w:p>
    <w:p w14:paraId="3E2E271D" w14:textId="77777777" w:rsidR="006B799D" w:rsidRPr="00877E1A" w:rsidRDefault="006B799D" w:rsidP="002E3C44">
      <w:pPr>
        <w:rPr>
          <w:rFonts w:ascii="Arial" w:hAnsi="Arial" w:cs="Arial"/>
        </w:rPr>
      </w:pPr>
    </w:p>
    <w:p w14:paraId="0B9F6AA4" w14:textId="77777777" w:rsidR="008746E4" w:rsidRDefault="00625186" w:rsidP="002E3C44">
      <w:pPr>
        <w:rPr>
          <w:rFonts w:ascii="Arial" w:hAnsi="Arial" w:cs="Arial"/>
        </w:rPr>
      </w:pPr>
      <w:r>
        <w:rPr>
          <w:rFonts w:ascii="Arial" w:hAnsi="Arial" w:cs="Arial"/>
        </w:rPr>
        <w:t>It is considered that the concept of development set out in the Proposition</w:t>
      </w:r>
      <w:r w:rsidR="008746E4">
        <w:rPr>
          <w:rFonts w:ascii="Arial" w:hAnsi="Arial" w:cs="Arial"/>
        </w:rPr>
        <w:t xml:space="preserve"> would serve to deliver against these key aims. In this respect it is relevant to note that, given the withdrawal, in 2014, of Island Plan Policy H3, which would have required a proportion of all housing development to be affordable, the acquisition and development of this site by </w:t>
      </w:r>
      <w:r w:rsidR="00D73747" w:rsidRPr="00877E1A">
        <w:rPr>
          <w:rFonts w:ascii="Arial" w:hAnsi="Arial" w:cs="Arial"/>
        </w:rPr>
        <w:t>Andium Homes</w:t>
      </w:r>
      <w:r w:rsidR="008746E4">
        <w:rPr>
          <w:rFonts w:ascii="Arial" w:hAnsi="Arial" w:cs="Arial"/>
        </w:rPr>
        <w:t xml:space="preserve">, </w:t>
      </w:r>
      <w:r w:rsidR="00D73747" w:rsidRPr="00877E1A">
        <w:rPr>
          <w:rFonts w:ascii="Arial" w:hAnsi="Arial" w:cs="Arial"/>
        </w:rPr>
        <w:t xml:space="preserve">as a wholly States-owned </w:t>
      </w:r>
      <w:r w:rsidR="006B799D" w:rsidRPr="00877E1A">
        <w:rPr>
          <w:rFonts w:ascii="Arial" w:hAnsi="Arial" w:cs="Arial"/>
        </w:rPr>
        <w:t xml:space="preserve">affordable housing provider, </w:t>
      </w:r>
      <w:r w:rsidR="008746E4">
        <w:rPr>
          <w:rFonts w:ascii="Arial" w:hAnsi="Arial" w:cs="Arial"/>
        </w:rPr>
        <w:t>will ensure that some affordable homes are now provided on this site.</w:t>
      </w:r>
    </w:p>
    <w:p w14:paraId="7DCAC6A7" w14:textId="77777777" w:rsidR="00FC7820" w:rsidRDefault="00FC7820" w:rsidP="002E3C44">
      <w:pPr>
        <w:rPr>
          <w:rFonts w:ascii="Arial" w:hAnsi="Arial" w:cs="Arial"/>
        </w:rPr>
      </w:pPr>
    </w:p>
    <w:p w14:paraId="6733F3E5" w14:textId="77777777" w:rsidR="00FC7820" w:rsidRPr="00C50D0D" w:rsidRDefault="00FC7820" w:rsidP="00FC7820">
      <w:pPr>
        <w:rPr>
          <w:rFonts w:ascii="Arial" w:hAnsi="Arial" w:cs="Arial"/>
        </w:rPr>
      </w:pPr>
      <w:r w:rsidRPr="00C50D0D">
        <w:rPr>
          <w:rFonts w:ascii="Arial" w:hAnsi="Arial" w:cs="Arial"/>
        </w:rPr>
        <w:t xml:space="preserve">Importantly, with regard to housing yields, the brief explicitly acknowledges that the guidance provided by the NoTMP is </w:t>
      </w:r>
      <w:r w:rsidRPr="00C50D0D">
        <w:rPr>
          <w:rFonts w:ascii="Arial" w:hAnsi="Arial" w:cs="Arial"/>
          <w:u w:val="single"/>
        </w:rPr>
        <w:t>‘purely indicative’</w:t>
      </w:r>
      <w:r w:rsidRPr="00C50D0D">
        <w:rPr>
          <w:rFonts w:ascii="Arial" w:hAnsi="Arial" w:cs="Arial"/>
        </w:rPr>
        <w:t xml:space="preserve"> and that the housing yield for the site should be properly derived through the design process.</w:t>
      </w:r>
    </w:p>
    <w:p w14:paraId="4F208284" w14:textId="77777777" w:rsidR="00FC7820" w:rsidRPr="00C50D0D" w:rsidRDefault="00FC7820" w:rsidP="00FC7820">
      <w:pPr>
        <w:rPr>
          <w:rFonts w:ascii="Arial" w:hAnsi="Arial" w:cs="Arial"/>
        </w:rPr>
      </w:pPr>
    </w:p>
    <w:p w14:paraId="2D3BD221" w14:textId="77777777" w:rsidR="00FC7820" w:rsidRPr="00C50D0D" w:rsidRDefault="00FC7820" w:rsidP="00FC7820">
      <w:pPr>
        <w:ind w:left="720"/>
        <w:rPr>
          <w:rFonts w:ascii="Arial" w:hAnsi="Arial" w:cs="Arial"/>
          <w:b/>
          <w:bCs/>
          <w:i/>
        </w:rPr>
      </w:pPr>
      <w:r w:rsidRPr="00C50D0D">
        <w:rPr>
          <w:rFonts w:ascii="Arial" w:hAnsi="Arial" w:cs="Arial"/>
          <w:b/>
          <w:bCs/>
          <w:i/>
        </w:rPr>
        <w:t>Development potential and density</w:t>
      </w:r>
    </w:p>
    <w:p w14:paraId="6AF8FD19" w14:textId="77777777" w:rsidR="00FC7820" w:rsidRPr="00C50D0D" w:rsidRDefault="00FC7820" w:rsidP="00FC7820">
      <w:pPr>
        <w:ind w:left="720"/>
        <w:rPr>
          <w:rFonts w:ascii="Arial" w:hAnsi="Arial" w:cs="Arial"/>
          <w:i/>
        </w:rPr>
      </w:pPr>
      <w:r w:rsidRPr="00C50D0D">
        <w:rPr>
          <w:rFonts w:ascii="Arial" w:hAnsi="Arial" w:cs="Arial"/>
          <w:i/>
        </w:rPr>
        <w:t>The density of the new development must emerge from a design led solution and be the highest consistent with maintaining reasonable standards of design, space about buildings and privacy, appropriate to the type of accommodation provided and the general surroundings.</w:t>
      </w:r>
    </w:p>
    <w:p w14:paraId="6D12A25D" w14:textId="77777777" w:rsidR="00FC7820" w:rsidRPr="00C50D0D" w:rsidRDefault="00FC7820" w:rsidP="00FC7820">
      <w:pPr>
        <w:ind w:left="720"/>
        <w:rPr>
          <w:rFonts w:ascii="Arial" w:hAnsi="Arial" w:cs="Arial"/>
          <w:i/>
        </w:rPr>
      </w:pPr>
    </w:p>
    <w:p w14:paraId="7EEBB468" w14:textId="77777777" w:rsidR="00FC7820" w:rsidRPr="00C50D0D" w:rsidRDefault="00FC7820" w:rsidP="00FC7820">
      <w:pPr>
        <w:ind w:left="720"/>
        <w:rPr>
          <w:rFonts w:ascii="Arial" w:hAnsi="Arial" w:cs="Arial"/>
        </w:rPr>
      </w:pPr>
      <w:r w:rsidRPr="00C50D0D">
        <w:rPr>
          <w:rFonts w:ascii="Arial" w:hAnsi="Arial" w:cs="Arial"/>
          <w:i/>
        </w:rPr>
        <w:t xml:space="preserve">The North of Town Masterplan … gave an indication of a possible quantum of development of 24,000 sq.m. However, </w:t>
      </w:r>
      <w:r w:rsidRPr="00C50D0D">
        <w:rPr>
          <w:rFonts w:ascii="Arial" w:hAnsi="Arial" w:cs="Arial"/>
          <w:i/>
          <w:u w:val="single"/>
        </w:rPr>
        <w:t>this figure is purely indicative</w:t>
      </w:r>
      <w:r w:rsidRPr="00C50D0D">
        <w:rPr>
          <w:rFonts w:ascii="Arial" w:hAnsi="Arial" w:cs="Arial"/>
          <w:i/>
        </w:rPr>
        <w:t xml:space="preserve"> and the Minister must be satisfied that an appropriate density should properly emerge out of the design process, which must seek to accommodate the planning constraints, other factors and key principles of development set out here. </w:t>
      </w:r>
      <w:r w:rsidRPr="00C50D0D">
        <w:rPr>
          <w:rFonts w:ascii="Arial" w:hAnsi="Arial" w:cs="Arial"/>
        </w:rPr>
        <w:t>[emphasis added]</w:t>
      </w:r>
    </w:p>
    <w:p w14:paraId="3374E5E7" w14:textId="77777777" w:rsidR="00FC7820" w:rsidRDefault="00FC7820" w:rsidP="002E3C44">
      <w:pPr>
        <w:rPr>
          <w:rFonts w:ascii="Arial" w:hAnsi="Arial" w:cs="Arial"/>
        </w:rPr>
      </w:pPr>
    </w:p>
    <w:p w14:paraId="26A4ACF4" w14:textId="77777777" w:rsidR="00FC7820" w:rsidRDefault="00FC7820" w:rsidP="002E3C44">
      <w:pPr>
        <w:rPr>
          <w:rFonts w:ascii="Arial" w:hAnsi="Arial" w:cs="Arial"/>
        </w:rPr>
      </w:pPr>
      <w:r>
        <w:rPr>
          <w:rFonts w:ascii="Arial" w:hAnsi="Arial" w:cs="Arial"/>
        </w:rPr>
        <w:t>Clearly, this qualification provided by the brief was conceived to deal with any variation of yield derived from the residential development of the whole site, rather than its partial development for this use, but still serves to recognise that the guidance provided by the masterplan is not prescriptive.</w:t>
      </w:r>
    </w:p>
    <w:p w14:paraId="168BE4E9" w14:textId="77777777" w:rsidR="008746E4" w:rsidRDefault="008746E4" w:rsidP="002E3C44">
      <w:pPr>
        <w:rPr>
          <w:rFonts w:ascii="Arial" w:hAnsi="Arial" w:cs="Arial"/>
        </w:rPr>
      </w:pPr>
    </w:p>
    <w:p w14:paraId="09173FC0" w14:textId="77777777" w:rsidR="002E3C44" w:rsidRPr="00877E1A" w:rsidRDefault="002E3C44" w:rsidP="002E3C44">
      <w:pPr>
        <w:rPr>
          <w:rFonts w:ascii="Arial" w:hAnsi="Arial" w:cs="Arial"/>
        </w:rPr>
      </w:pPr>
      <w:r w:rsidRPr="00877E1A">
        <w:rPr>
          <w:rFonts w:ascii="Arial" w:hAnsi="Arial" w:cs="Arial"/>
        </w:rPr>
        <w:t xml:space="preserve">With regard to the provision of open space, the Development Brief states that </w:t>
      </w:r>
      <w:r w:rsidRPr="00877E1A">
        <w:rPr>
          <w:rFonts w:ascii="Arial" w:hAnsi="Arial" w:cs="Arial"/>
          <w:i/>
        </w:rPr>
        <w:t xml:space="preserve">“The development should make provision for amenity space within the </w:t>
      </w:r>
      <w:r w:rsidRPr="00877E1A">
        <w:rPr>
          <w:rFonts w:ascii="Arial" w:hAnsi="Arial" w:cs="Arial"/>
          <w:i/>
        </w:rPr>
        <w:lastRenderedPageBreak/>
        <w:t>boundaries of the site some of which may contribute to the public realm and be genuinely publicly accessible: the potential to provide public routes through the site should be explored”.</w:t>
      </w:r>
    </w:p>
    <w:p w14:paraId="5BF54B5E" w14:textId="77777777" w:rsidR="00F26744" w:rsidRPr="00877E1A" w:rsidRDefault="00F26744" w:rsidP="002E3C44">
      <w:pPr>
        <w:rPr>
          <w:rFonts w:ascii="Arial" w:hAnsi="Arial" w:cs="Arial"/>
        </w:rPr>
      </w:pPr>
    </w:p>
    <w:p w14:paraId="6C592BD7" w14:textId="77777777" w:rsidR="00F26744" w:rsidRPr="00877E1A" w:rsidRDefault="00F26744" w:rsidP="002E3C44">
      <w:pPr>
        <w:rPr>
          <w:rFonts w:ascii="Arial" w:hAnsi="Arial" w:cs="Arial"/>
        </w:rPr>
      </w:pPr>
      <w:r w:rsidRPr="00877E1A">
        <w:rPr>
          <w:rFonts w:ascii="Arial" w:hAnsi="Arial" w:cs="Arial"/>
        </w:rPr>
        <w:t>The Proposition and the Brief are in accord on the issue of public realm provision which the Proposition requires to be an extension to Millennium Town Park.</w:t>
      </w:r>
    </w:p>
    <w:p w14:paraId="33F3B704" w14:textId="77777777" w:rsidR="002E3C44" w:rsidRPr="00877E1A" w:rsidRDefault="002E3C44" w:rsidP="002E3C44">
      <w:pPr>
        <w:rPr>
          <w:rFonts w:ascii="Arial" w:hAnsi="Arial" w:cs="Arial"/>
        </w:rPr>
      </w:pPr>
    </w:p>
    <w:p w14:paraId="27C0DB1D" w14:textId="77777777" w:rsidR="006B799D" w:rsidRPr="00877E1A" w:rsidRDefault="002E3C44" w:rsidP="002E3C44">
      <w:pPr>
        <w:rPr>
          <w:rFonts w:ascii="Arial" w:hAnsi="Arial" w:cs="Arial"/>
        </w:rPr>
      </w:pPr>
      <w:r w:rsidRPr="00877E1A">
        <w:rPr>
          <w:rFonts w:ascii="Arial" w:hAnsi="Arial" w:cs="Arial"/>
        </w:rPr>
        <w:t>The Brief then offers relatively flexible and non-prescriptive guidance based on sound planning principles, none of which would serve to compromise the intent of the Proposition.</w:t>
      </w:r>
    </w:p>
    <w:p w14:paraId="76C820BF" w14:textId="77777777" w:rsidR="006B799D" w:rsidRDefault="006B799D" w:rsidP="002E3C44">
      <w:pPr>
        <w:rPr>
          <w:rFonts w:ascii="Arial" w:hAnsi="Arial" w:cs="Arial"/>
        </w:rPr>
      </w:pPr>
    </w:p>
    <w:p w14:paraId="769D4727" w14:textId="77777777" w:rsidR="00CB3BCE" w:rsidRPr="00877E1A" w:rsidRDefault="00CB3BCE" w:rsidP="002E3C44">
      <w:pPr>
        <w:rPr>
          <w:rFonts w:ascii="Arial" w:hAnsi="Arial" w:cs="Arial"/>
        </w:rPr>
      </w:pPr>
      <w:r w:rsidRPr="00877E1A">
        <w:rPr>
          <w:rFonts w:ascii="Arial" w:hAnsi="Arial" w:cs="Arial"/>
        </w:rPr>
        <w:t>With regard to design, the brief requires any development on the Jersey Gas site to provide an important visual conclusion to the eastern boundary of the Millennium Town Park.</w:t>
      </w:r>
    </w:p>
    <w:p w14:paraId="0ABFA878" w14:textId="77777777" w:rsidR="00CB3BCE" w:rsidRPr="00877E1A" w:rsidRDefault="00CB3BCE" w:rsidP="002E3C44">
      <w:pPr>
        <w:rPr>
          <w:rFonts w:ascii="Arial" w:hAnsi="Arial" w:cs="Arial"/>
        </w:rPr>
      </w:pPr>
    </w:p>
    <w:p w14:paraId="4B80F5E6" w14:textId="439319A7" w:rsidR="00CB3BCE" w:rsidRPr="00877E1A" w:rsidRDefault="00CB3BCE" w:rsidP="00877E1A">
      <w:pPr>
        <w:ind w:left="720"/>
        <w:rPr>
          <w:rFonts w:ascii="Arial" w:hAnsi="Arial" w:cs="Arial"/>
          <w:i/>
        </w:rPr>
      </w:pPr>
      <w:r w:rsidRPr="00877E1A">
        <w:rPr>
          <w:rFonts w:ascii="Arial" w:hAnsi="Arial" w:cs="Arial"/>
          <w:i/>
        </w:rPr>
        <w:t>The development must provide an important visual focal point to the east side of the new town park which must be of architectural excellence. It must also have the potential of interfacing with the new park.</w:t>
      </w:r>
    </w:p>
    <w:p w14:paraId="2D665C49" w14:textId="77777777" w:rsidR="00F26744" w:rsidRPr="00877E1A" w:rsidRDefault="00F26744" w:rsidP="002E3C44">
      <w:pPr>
        <w:rPr>
          <w:rFonts w:ascii="Arial" w:hAnsi="Arial" w:cs="Arial"/>
        </w:rPr>
      </w:pPr>
    </w:p>
    <w:p w14:paraId="4AEF2D4B" w14:textId="77777777" w:rsidR="00CB3BCE" w:rsidRPr="00877E1A" w:rsidRDefault="00CB3BCE" w:rsidP="002E3C44">
      <w:pPr>
        <w:rPr>
          <w:rFonts w:ascii="Arial" w:hAnsi="Arial" w:cs="Arial"/>
        </w:rPr>
      </w:pPr>
      <w:r w:rsidRPr="00877E1A">
        <w:rPr>
          <w:rFonts w:ascii="Arial" w:hAnsi="Arial" w:cs="Arial"/>
        </w:rPr>
        <w:t xml:space="preserve">This principle would not, however, be eroded by any extension of the park on part of the Jersey Gas Site, as set out in the </w:t>
      </w:r>
      <w:r w:rsidR="00625186" w:rsidRPr="00625186">
        <w:rPr>
          <w:rFonts w:ascii="Arial" w:hAnsi="Arial" w:cs="Arial"/>
        </w:rPr>
        <w:t>Proposition</w:t>
      </w:r>
      <w:r w:rsidRPr="00877E1A">
        <w:rPr>
          <w:rFonts w:ascii="Arial" w:hAnsi="Arial" w:cs="Arial"/>
        </w:rPr>
        <w:t>, and would remain a relevant design consideration.</w:t>
      </w:r>
    </w:p>
    <w:p w14:paraId="54A968BE" w14:textId="77777777" w:rsidR="00CB3BCE" w:rsidRPr="00877E1A" w:rsidRDefault="00CB3BCE" w:rsidP="002E3C44">
      <w:pPr>
        <w:rPr>
          <w:rFonts w:ascii="Arial" w:hAnsi="Arial" w:cs="Arial"/>
        </w:rPr>
      </w:pPr>
    </w:p>
    <w:p w14:paraId="02241A58" w14:textId="77777777" w:rsidR="00F26744" w:rsidRPr="00877E1A" w:rsidRDefault="00283395" w:rsidP="002E3C44">
      <w:pPr>
        <w:rPr>
          <w:rFonts w:ascii="Arial" w:hAnsi="Arial" w:cs="Arial"/>
          <w:b/>
        </w:rPr>
      </w:pPr>
      <w:r w:rsidRPr="00877E1A">
        <w:rPr>
          <w:rFonts w:ascii="Arial" w:hAnsi="Arial" w:cs="Arial"/>
          <w:b/>
        </w:rPr>
        <w:t>5. Other material considerations</w:t>
      </w:r>
    </w:p>
    <w:p w14:paraId="3E1342DD" w14:textId="77777777" w:rsidR="00283395" w:rsidRPr="00877E1A" w:rsidRDefault="00283395" w:rsidP="002E3C44">
      <w:pPr>
        <w:rPr>
          <w:rFonts w:ascii="Arial" w:hAnsi="Arial" w:cs="Arial"/>
        </w:rPr>
      </w:pPr>
      <w:r w:rsidRPr="00877E1A">
        <w:rPr>
          <w:rFonts w:ascii="Arial" w:hAnsi="Arial" w:cs="Arial"/>
        </w:rPr>
        <w:t xml:space="preserve">At the time of the drafting of this report, there is no evidence to suggest that there are any major development schemes or traffic / infrastructure projects either approved or ‘in the pipeline’ that may impact upon the redevelopment of the Jersey Gas site as envisaged by the extant planning guidance or the requirements of the Proposition. </w:t>
      </w:r>
    </w:p>
    <w:p w14:paraId="03F8E82A" w14:textId="77777777" w:rsidR="00CB3BCE" w:rsidRPr="00877E1A" w:rsidRDefault="00CB3BCE" w:rsidP="002E3C44">
      <w:pPr>
        <w:rPr>
          <w:rFonts w:ascii="Arial" w:hAnsi="Arial" w:cs="Arial"/>
        </w:rPr>
      </w:pPr>
    </w:p>
    <w:p w14:paraId="7EEF4F7F" w14:textId="67EA9D09" w:rsidR="00CB3BCE" w:rsidRPr="00877E1A" w:rsidRDefault="008746E4" w:rsidP="002E3C44">
      <w:pPr>
        <w:rPr>
          <w:rFonts w:ascii="Arial" w:hAnsi="Arial" w:cs="Arial"/>
          <w:b/>
        </w:rPr>
      </w:pPr>
      <w:r>
        <w:rPr>
          <w:rFonts w:ascii="Arial" w:hAnsi="Arial" w:cs="Arial"/>
        </w:rPr>
        <w:t>Whilst not prejudicial to either the existing supplementary planning guidance or the development to the Jersey Gas site, i</w:t>
      </w:r>
      <w:r w:rsidR="00CB3BCE" w:rsidRPr="00877E1A">
        <w:rPr>
          <w:rFonts w:ascii="Arial" w:hAnsi="Arial" w:cs="Arial"/>
        </w:rPr>
        <w:t xml:space="preserve">t is relevant to note that consideration is being given to the potential introduction of traffic management changes in the locality - specifically, making Bath Street one-way northbound </w:t>
      </w:r>
      <w:r w:rsidR="00292CB5" w:rsidRPr="00877E1A">
        <w:rPr>
          <w:rFonts w:ascii="Arial" w:hAnsi="Arial" w:cs="Arial"/>
        </w:rPr>
        <w:t>–</w:t>
      </w:r>
      <w:r w:rsidR="00CB3BCE" w:rsidRPr="00877E1A">
        <w:rPr>
          <w:rFonts w:ascii="Arial" w:hAnsi="Arial" w:cs="Arial"/>
        </w:rPr>
        <w:t xml:space="preserve"> </w:t>
      </w:r>
      <w:r w:rsidR="00292CB5" w:rsidRPr="00877E1A">
        <w:rPr>
          <w:rFonts w:ascii="Arial" w:hAnsi="Arial" w:cs="Arial"/>
        </w:rPr>
        <w:t xml:space="preserve">to enhance road safety for vulnerable road users; to provide cycling infrastructure; and to deliver public realm improvements (see p.15 </w:t>
      </w:r>
      <w:hyperlink r:id="rId10" w:history="1">
        <w:r w:rsidR="00292CB5" w:rsidRPr="00877E1A">
          <w:rPr>
            <w:rStyle w:val="Hyperlink"/>
            <w:rFonts w:ascii="Arial" w:hAnsi="Arial" w:cs="Arial"/>
          </w:rPr>
          <w:t>https://www.gov.je/SiteCollectionDocuments/Planning%20and%20building/St%20Helier%20Report%20v4%20appendices%20removed.pdf</w:t>
        </w:r>
      </w:hyperlink>
      <w:r w:rsidR="00292CB5" w:rsidRPr="00877E1A">
        <w:rPr>
          <w:rFonts w:ascii="Arial" w:hAnsi="Arial" w:cs="Arial"/>
        </w:rPr>
        <w:t xml:space="preserve">). </w:t>
      </w:r>
      <w:r w:rsidR="001E1AEA">
        <w:rPr>
          <w:rFonts w:ascii="Arial" w:hAnsi="Arial" w:cs="Arial"/>
        </w:rPr>
        <w:t>A traffic study</w:t>
      </w:r>
      <w:r w:rsidR="001E1AEA">
        <w:rPr>
          <w:rStyle w:val="FootnoteReference"/>
          <w:rFonts w:ascii="Arial" w:hAnsi="Arial" w:cs="Arial"/>
        </w:rPr>
        <w:footnoteReference w:id="8"/>
      </w:r>
      <w:r w:rsidR="001E1AEA">
        <w:rPr>
          <w:rFonts w:ascii="Arial" w:hAnsi="Arial" w:cs="Arial"/>
        </w:rPr>
        <w:t xml:space="preserve"> has shown that such a scheme would be feasible and is, currently, placed as one of the Tranche-2 schemes within the study’s programme of works  </w:t>
      </w:r>
      <w:r w:rsidR="00292CB5" w:rsidRPr="00877E1A">
        <w:rPr>
          <w:rFonts w:ascii="Arial" w:hAnsi="Arial" w:cs="Arial"/>
        </w:rPr>
        <w:t xml:space="preserve">This scheme </w:t>
      </w:r>
      <w:r w:rsidR="001E1AEA">
        <w:rPr>
          <w:rFonts w:ascii="Arial" w:hAnsi="Arial" w:cs="Arial"/>
        </w:rPr>
        <w:t xml:space="preserve">would require </w:t>
      </w:r>
      <w:r w:rsidR="00292CB5" w:rsidRPr="00877E1A">
        <w:rPr>
          <w:rFonts w:ascii="Arial" w:hAnsi="Arial" w:cs="Arial"/>
        </w:rPr>
        <w:t>consultation before being developed as a formal proposal</w:t>
      </w:r>
      <w:r>
        <w:rPr>
          <w:rFonts w:ascii="Arial" w:hAnsi="Arial" w:cs="Arial"/>
        </w:rPr>
        <w:t xml:space="preserve"> that might be reflected in any revised planning guidance</w:t>
      </w:r>
      <w:r w:rsidR="00292CB5" w:rsidRPr="00877E1A">
        <w:rPr>
          <w:rFonts w:ascii="Arial" w:hAnsi="Arial" w:cs="Arial"/>
        </w:rPr>
        <w:t>.</w:t>
      </w:r>
    </w:p>
    <w:p w14:paraId="3DC9BCD7" w14:textId="77777777" w:rsidR="009D2287" w:rsidRPr="00877E1A" w:rsidRDefault="009D2287" w:rsidP="002E3C44">
      <w:pPr>
        <w:rPr>
          <w:rFonts w:ascii="Arial" w:hAnsi="Arial" w:cs="Arial"/>
        </w:rPr>
      </w:pPr>
    </w:p>
    <w:p w14:paraId="1376A3AD" w14:textId="77777777" w:rsidR="00C44265" w:rsidRDefault="00C44265">
      <w:pPr>
        <w:rPr>
          <w:rFonts w:ascii="Arial" w:hAnsi="Arial" w:cs="Arial"/>
          <w:b/>
        </w:rPr>
      </w:pPr>
      <w:r>
        <w:rPr>
          <w:rFonts w:ascii="Arial" w:hAnsi="Arial" w:cs="Arial"/>
          <w:b/>
        </w:rPr>
        <w:br w:type="page"/>
      </w:r>
    </w:p>
    <w:p w14:paraId="7F5E47C3" w14:textId="01E042FD" w:rsidR="009D2287" w:rsidRPr="00C44265" w:rsidRDefault="00283395" w:rsidP="009D2287">
      <w:pPr>
        <w:rPr>
          <w:rFonts w:ascii="Arial" w:hAnsi="Arial" w:cs="Arial"/>
          <w:b/>
        </w:rPr>
      </w:pPr>
      <w:r w:rsidRPr="00877E1A">
        <w:rPr>
          <w:rFonts w:ascii="Arial" w:hAnsi="Arial" w:cs="Arial"/>
          <w:b/>
        </w:rPr>
        <w:lastRenderedPageBreak/>
        <w:t>6</w:t>
      </w:r>
      <w:r w:rsidR="009D2287" w:rsidRPr="00877E1A">
        <w:rPr>
          <w:rFonts w:ascii="Arial" w:hAnsi="Arial" w:cs="Arial"/>
          <w:b/>
        </w:rPr>
        <w:t>.</w:t>
      </w:r>
      <w:r w:rsidR="009D2287" w:rsidRPr="00877E1A">
        <w:rPr>
          <w:rFonts w:ascii="Arial" w:hAnsi="Arial" w:cs="Arial"/>
        </w:rPr>
        <w:t xml:space="preserve"> </w:t>
      </w:r>
      <w:r w:rsidR="009D2287" w:rsidRPr="00877E1A">
        <w:rPr>
          <w:rFonts w:ascii="Arial" w:hAnsi="Arial" w:cs="Arial"/>
          <w:b/>
        </w:rPr>
        <w:t>Is change to the extant guidance required?</w:t>
      </w:r>
    </w:p>
    <w:p w14:paraId="5EF404DD" w14:textId="2E975057" w:rsidR="006F2394" w:rsidRDefault="00FC7820" w:rsidP="009D2287">
      <w:pPr>
        <w:rPr>
          <w:rFonts w:ascii="Arial" w:hAnsi="Arial" w:cs="Arial"/>
        </w:rPr>
      </w:pPr>
      <w:r>
        <w:rPr>
          <w:rFonts w:ascii="Arial" w:hAnsi="Arial" w:cs="Arial"/>
        </w:rPr>
        <w:t>On the basis of the above, it is considered that t</w:t>
      </w:r>
      <w:r w:rsidR="009D2287" w:rsidRPr="00877E1A">
        <w:rPr>
          <w:rFonts w:ascii="Arial" w:hAnsi="Arial" w:cs="Arial"/>
        </w:rPr>
        <w:t>he 2013 Jersey Gas Site Development Brief remains relevant as a framework to guide the future regeneration and development of the site.</w:t>
      </w:r>
    </w:p>
    <w:p w14:paraId="526B8A65" w14:textId="77777777" w:rsidR="006F2394" w:rsidRDefault="006F2394" w:rsidP="009D2287">
      <w:pPr>
        <w:rPr>
          <w:rFonts w:ascii="Arial" w:hAnsi="Arial" w:cs="Arial"/>
        </w:rPr>
      </w:pPr>
    </w:p>
    <w:p w14:paraId="02A9250E" w14:textId="3221AB0F" w:rsidR="006F2394" w:rsidRDefault="00FC7820" w:rsidP="009D2287">
      <w:pPr>
        <w:rPr>
          <w:rFonts w:ascii="Arial" w:hAnsi="Arial" w:cs="Arial"/>
        </w:rPr>
      </w:pPr>
      <w:r>
        <w:rPr>
          <w:rFonts w:ascii="Arial" w:hAnsi="Arial" w:cs="Arial"/>
        </w:rPr>
        <w:t>Similarly, it is also considered that t</w:t>
      </w:r>
      <w:r w:rsidR="009D2287" w:rsidRPr="00877E1A">
        <w:rPr>
          <w:rFonts w:ascii="Arial" w:hAnsi="Arial" w:cs="Arial"/>
        </w:rPr>
        <w:t>he broad intent of the</w:t>
      </w:r>
      <w:r>
        <w:rPr>
          <w:rFonts w:ascii="Arial" w:hAnsi="Arial" w:cs="Arial"/>
        </w:rPr>
        <w:t xml:space="preserve"> </w:t>
      </w:r>
      <w:r w:rsidRPr="00FC7820">
        <w:rPr>
          <w:rFonts w:ascii="Arial" w:hAnsi="Arial" w:cs="Arial"/>
        </w:rPr>
        <w:t>North of Town Masterplan</w:t>
      </w:r>
      <w:r>
        <w:rPr>
          <w:rFonts w:ascii="Arial" w:hAnsi="Arial" w:cs="Arial"/>
        </w:rPr>
        <w:t xml:space="preserve">, </w:t>
      </w:r>
      <w:r w:rsidR="009D2287" w:rsidRPr="00877E1A">
        <w:rPr>
          <w:rFonts w:ascii="Arial" w:hAnsi="Arial" w:cs="Arial"/>
        </w:rPr>
        <w:t xml:space="preserve">as a strategy to </w:t>
      </w:r>
      <w:r w:rsidR="006F2394">
        <w:rPr>
          <w:rFonts w:ascii="Arial" w:hAnsi="Arial" w:cs="Arial"/>
        </w:rPr>
        <w:t>catalyse</w:t>
      </w:r>
      <w:r w:rsidR="009D2287" w:rsidRPr="00877E1A">
        <w:rPr>
          <w:rFonts w:ascii="Arial" w:hAnsi="Arial" w:cs="Arial"/>
        </w:rPr>
        <w:t xml:space="preserve"> the regeneration of the older parts of town</w:t>
      </w:r>
      <w:r>
        <w:rPr>
          <w:rFonts w:ascii="Arial" w:hAnsi="Arial" w:cs="Arial"/>
        </w:rPr>
        <w:t>,</w:t>
      </w:r>
      <w:r w:rsidR="009D2287" w:rsidRPr="00877E1A">
        <w:rPr>
          <w:rFonts w:ascii="Arial" w:hAnsi="Arial" w:cs="Arial"/>
        </w:rPr>
        <w:t xml:space="preserve"> is also still relevant</w:t>
      </w:r>
      <w:r w:rsidR="006F2394">
        <w:rPr>
          <w:rFonts w:ascii="Arial" w:hAnsi="Arial" w:cs="Arial"/>
        </w:rPr>
        <w:t>, and that the framework provided by the masterplan provides sufficient flexibility to facilitate the delivery of homes and public open space across sites in this part of St. Helier.</w:t>
      </w:r>
    </w:p>
    <w:p w14:paraId="2DFF2DD4" w14:textId="77777777" w:rsidR="006F2394" w:rsidRDefault="006F2394" w:rsidP="009D2287">
      <w:pPr>
        <w:rPr>
          <w:rFonts w:ascii="Arial" w:hAnsi="Arial" w:cs="Arial"/>
        </w:rPr>
      </w:pPr>
    </w:p>
    <w:p w14:paraId="27FAD235" w14:textId="54DE98B5" w:rsidR="00F26744" w:rsidRDefault="001B601C" w:rsidP="009D2287">
      <w:pPr>
        <w:rPr>
          <w:rFonts w:ascii="Arial" w:hAnsi="Arial" w:cs="Arial"/>
        </w:rPr>
      </w:pPr>
      <w:r>
        <w:rPr>
          <w:rFonts w:ascii="Arial" w:hAnsi="Arial" w:cs="Arial"/>
        </w:rPr>
        <w:t xml:space="preserve">However, in order to ensure </w:t>
      </w:r>
      <w:r w:rsidR="009264F2">
        <w:rPr>
          <w:rFonts w:ascii="Arial" w:hAnsi="Arial" w:cs="Arial"/>
        </w:rPr>
        <w:t>that current planning guidance reflects</w:t>
      </w:r>
      <w:r w:rsidR="00C508B1" w:rsidRPr="00C508B1">
        <w:rPr>
          <w:rFonts w:ascii="Arial" w:hAnsi="Arial" w:cs="Arial"/>
        </w:rPr>
        <w:t xml:space="preserve"> </w:t>
      </w:r>
      <w:r w:rsidR="00C508B1">
        <w:rPr>
          <w:rFonts w:ascii="Arial" w:hAnsi="Arial" w:cs="Arial"/>
        </w:rPr>
        <w:t xml:space="preserve">the resolution of the States in a clear and unambiguous way, </w:t>
      </w:r>
      <w:r w:rsidR="00AC35BC">
        <w:rPr>
          <w:rFonts w:ascii="Arial" w:hAnsi="Arial" w:cs="Arial"/>
        </w:rPr>
        <w:t xml:space="preserve">it is considered reasonable to incorporate the detailed requirements of the Proposition into an amendment to the Development Brief.  As the Masterplan remains a high-level framework document, it is not considered necessary to amend </w:t>
      </w:r>
      <w:r w:rsidR="005669EF">
        <w:rPr>
          <w:rFonts w:ascii="Arial" w:hAnsi="Arial" w:cs="Arial"/>
        </w:rPr>
        <w:t xml:space="preserve">the content of the Masterplan. </w:t>
      </w:r>
    </w:p>
    <w:p w14:paraId="06C65074" w14:textId="77777777" w:rsidR="001A7616" w:rsidRDefault="001A7616" w:rsidP="009D2287">
      <w:pPr>
        <w:rPr>
          <w:rFonts w:ascii="Arial" w:hAnsi="Arial" w:cs="Arial"/>
        </w:rPr>
      </w:pPr>
    </w:p>
    <w:p w14:paraId="56037AEF" w14:textId="77777777" w:rsidR="001A7616" w:rsidRPr="00877E1A" w:rsidRDefault="001A7616" w:rsidP="009D2287">
      <w:pPr>
        <w:rPr>
          <w:rFonts w:ascii="Arial" w:hAnsi="Arial" w:cs="Arial"/>
        </w:rPr>
        <w:sectPr w:rsidR="001A7616" w:rsidRPr="00877E1A" w:rsidSect="00C1406C">
          <w:footerReference w:type="default" r:id="rId11"/>
          <w:type w:val="continuous"/>
          <w:pgSz w:w="11907" w:h="16839" w:code="9"/>
          <w:pgMar w:top="1440" w:right="1800" w:bottom="1440" w:left="1800" w:header="720" w:footer="720" w:gutter="0"/>
          <w:cols w:space="720"/>
          <w:docGrid w:linePitch="360"/>
        </w:sectPr>
      </w:pPr>
    </w:p>
    <w:p w14:paraId="7BA60CA4" w14:textId="77777777" w:rsidR="00F26744" w:rsidRPr="00877E1A" w:rsidRDefault="00F26744" w:rsidP="002E3C44">
      <w:pPr>
        <w:rPr>
          <w:rFonts w:ascii="Arial" w:hAnsi="Arial" w:cs="Arial"/>
        </w:rPr>
      </w:pPr>
    </w:p>
    <w:p w14:paraId="2C3FE9DD" w14:textId="77777777" w:rsidR="00F26744" w:rsidRPr="00877E1A" w:rsidRDefault="00283395" w:rsidP="00F26744">
      <w:pPr>
        <w:rPr>
          <w:rFonts w:ascii="Arial" w:hAnsi="Arial" w:cs="Arial"/>
          <w:b/>
        </w:rPr>
      </w:pPr>
      <w:r w:rsidRPr="00877E1A">
        <w:rPr>
          <w:rFonts w:ascii="Arial" w:hAnsi="Arial" w:cs="Arial"/>
          <w:b/>
        </w:rPr>
        <w:t>7</w:t>
      </w:r>
      <w:r w:rsidR="00F26744" w:rsidRPr="00877E1A">
        <w:rPr>
          <w:rFonts w:ascii="Arial" w:hAnsi="Arial" w:cs="Arial"/>
          <w:b/>
        </w:rPr>
        <w:t>. Legal and resource implications</w:t>
      </w:r>
    </w:p>
    <w:p w14:paraId="2AFB878C" w14:textId="3D37F960" w:rsidR="00F26744" w:rsidRPr="00877E1A" w:rsidRDefault="00F26744" w:rsidP="00F26744">
      <w:pPr>
        <w:rPr>
          <w:rFonts w:ascii="Arial" w:hAnsi="Arial" w:cs="Arial"/>
        </w:rPr>
      </w:pPr>
      <w:r w:rsidRPr="00877E1A">
        <w:rPr>
          <w:rFonts w:ascii="Arial" w:hAnsi="Arial" w:cs="Arial"/>
        </w:rPr>
        <w:t>There are no</w:t>
      </w:r>
      <w:r w:rsidR="001713CB">
        <w:rPr>
          <w:rFonts w:ascii="Arial" w:hAnsi="Arial" w:cs="Arial"/>
        </w:rPr>
        <w:t xml:space="preserve"> significant</w:t>
      </w:r>
      <w:r w:rsidRPr="00877E1A">
        <w:rPr>
          <w:rFonts w:ascii="Arial" w:hAnsi="Arial" w:cs="Arial"/>
        </w:rPr>
        <w:t xml:space="preserve"> legal or resource implications in respect of the </w:t>
      </w:r>
      <w:r w:rsidR="001713CB">
        <w:rPr>
          <w:rFonts w:ascii="Arial" w:hAnsi="Arial" w:cs="Arial"/>
        </w:rPr>
        <w:t xml:space="preserve">proposed amendment of the SPG. </w:t>
      </w:r>
      <w:r w:rsidRPr="00877E1A">
        <w:rPr>
          <w:rFonts w:ascii="Arial" w:hAnsi="Arial" w:cs="Arial"/>
        </w:rPr>
        <w:t>.</w:t>
      </w:r>
    </w:p>
    <w:p w14:paraId="0E8BCB8C" w14:textId="77777777" w:rsidR="00F26744" w:rsidRPr="00877E1A" w:rsidRDefault="00F26744" w:rsidP="002E3C44">
      <w:pPr>
        <w:rPr>
          <w:rFonts w:ascii="Arial" w:hAnsi="Arial" w:cs="Arial"/>
        </w:rPr>
      </w:pPr>
    </w:p>
    <w:p w14:paraId="240C6A7D" w14:textId="77777777" w:rsidR="005A5347" w:rsidRPr="00877E1A" w:rsidRDefault="005A5347" w:rsidP="002E3C44">
      <w:pPr>
        <w:rPr>
          <w:rFonts w:ascii="Arial" w:hAnsi="Arial" w:cs="Arial"/>
        </w:rPr>
      </w:pPr>
    </w:p>
    <w:p w14:paraId="0B5E12D5" w14:textId="77777777" w:rsidR="005A5347" w:rsidRPr="00877E1A" w:rsidRDefault="00283395" w:rsidP="005A5347">
      <w:pPr>
        <w:shd w:val="clear" w:color="auto" w:fill="EDEDED" w:themeFill="accent3" w:themeFillTint="33"/>
        <w:rPr>
          <w:rFonts w:ascii="Arial" w:hAnsi="Arial" w:cs="Arial"/>
          <w:b/>
        </w:rPr>
      </w:pPr>
      <w:r w:rsidRPr="00877E1A">
        <w:rPr>
          <w:rFonts w:ascii="Arial" w:hAnsi="Arial" w:cs="Arial"/>
          <w:b/>
        </w:rPr>
        <w:t>8</w:t>
      </w:r>
      <w:r w:rsidR="005A5347" w:rsidRPr="00877E1A">
        <w:rPr>
          <w:rFonts w:ascii="Arial" w:hAnsi="Arial" w:cs="Arial"/>
          <w:b/>
        </w:rPr>
        <w:t xml:space="preserve">. Recommendation </w:t>
      </w:r>
    </w:p>
    <w:p w14:paraId="33052B8E" w14:textId="77777777" w:rsidR="005A5347" w:rsidRPr="00877E1A" w:rsidRDefault="005A5347" w:rsidP="005A5347">
      <w:pPr>
        <w:shd w:val="clear" w:color="auto" w:fill="EDEDED" w:themeFill="accent3" w:themeFillTint="33"/>
        <w:rPr>
          <w:rFonts w:ascii="Arial" w:hAnsi="Arial" w:cs="Arial"/>
          <w:b/>
        </w:rPr>
      </w:pPr>
    </w:p>
    <w:p w14:paraId="6864A693" w14:textId="7565AA45" w:rsidR="005A5347" w:rsidRPr="00877E1A" w:rsidRDefault="005A5347" w:rsidP="005A5347">
      <w:pPr>
        <w:shd w:val="clear" w:color="auto" w:fill="EDEDED" w:themeFill="accent3" w:themeFillTint="33"/>
        <w:rPr>
          <w:rFonts w:ascii="Arial" w:hAnsi="Arial" w:cs="Arial"/>
          <w:b/>
        </w:rPr>
      </w:pPr>
      <w:r w:rsidRPr="00877E1A">
        <w:rPr>
          <w:rFonts w:ascii="Arial" w:hAnsi="Arial" w:cs="Arial"/>
          <w:b/>
        </w:rPr>
        <w:t xml:space="preserve">That the Minister notes the findings of the report and </w:t>
      </w:r>
      <w:r w:rsidR="00875971">
        <w:rPr>
          <w:rFonts w:ascii="Arial" w:hAnsi="Arial" w:cs="Arial"/>
          <w:b/>
        </w:rPr>
        <w:t>supports</w:t>
      </w:r>
      <w:r w:rsidR="009264F2">
        <w:rPr>
          <w:rFonts w:ascii="Arial" w:hAnsi="Arial" w:cs="Arial"/>
          <w:b/>
        </w:rPr>
        <w:t xml:space="preserve"> the amendment to the Jersey Gas Site Development Brief</w:t>
      </w:r>
      <w:r w:rsidR="00875971">
        <w:rPr>
          <w:rFonts w:ascii="Arial" w:hAnsi="Arial" w:cs="Arial"/>
          <w:b/>
        </w:rPr>
        <w:t>,</w:t>
      </w:r>
      <w:r w:rsidR="009264F2">
        <w:rPr>
          <w:rFonts w:ascii="Arial" w:hAnsi="Arial" w:cs="Arial"/>
          <w:b/>
        </w:rPr>
        <w:t xml:space="preserve"> </w:t>
      </w:r>
      <w:r w:rsidR="00875971">
        <w:rPr>
          <w:rFonts w:ascii="Arial" w:hAnsi="Arial" w:cs="Arial"/>
          <w:b/>
        </w:rPr>
        <w:t>subject to the outcomes of a public consultation exercise, and</w:t>
      </w:r>
      <w:r w:rsidR="009264F2">
        <w:rPr>
          <w:rFonts w:ascii="Arial" w:hAnsi="Arial" w:cs="Arial"/>
          <w:b/>
        </w:rPr>
        <w:t xml:space="preserve"> </w:t>
      </w:r>
      <w:r w:rsidRPr="00877E1A">
        <w:rPr>
          <w:rFonts w:ascii="Arial" w:hAnsi="Arial" w:cs="Arial"/>
          <w:b/>
        </w:rPr>
        <w:t xml:space="preserve">reaffirms the maintenance of the current </w:t>
      </w:r>
      <w:r w:rsidR="00FC7820">
        <w:rPr>
          <w:rFonts w:ascii="Arial" w:hAnsi="Arial" w:cs="Arial"/>
          <w:b/>
        </w:rPr>
        <w:t xml:space="preserve">supplementary planning </w:t>
      </w:r>
      <w:r w:rsidRPr="00877E1A">
        <w:rPr>
          <w:rFonts w:ascii="Arial" w:hAnsi="Arial" w:cs="Arial"/>
          <w:b/>
        </w:rPr>
        <w:t xml:space="preserve">guidance as </w:t>
      </w:r>
      <w:r w:rsidR="001713CB">
        <w:rPr>
          <w:rFonts w:ascii="Arial" w:hAnsi="Arial" w:cs="Arial"/>
          <w:b/>
        </w:rPr>
        <w:t>adopted</w:t>
      </w:r>
      <w:r w:rsidRPr="00877E1A">
        <w:rPr>
          <w:rFonts w:ascii="Arial" w:hAnsi="Arial" w:cs="Arial"/>
          <w:b/>
        </w:rPr>
        <w:t xml:space="preserve">, in relation to </w:t>
      </w:r>
      <w:r w:rsidR="001713CB">
        <w:rPr>
          <w:rFonts w:ascii="Arial" w:hAnsi="Arial" w:cs="Arial"/>
          <w:b/>
        </w:rPr>
        <w:t xml:space="preserve">the 2011 </w:t>
      </w:r>
      <w:r w:rsidR="008746E4">
        <w:rPr>
          <w:rFonts w:ascii="Arial" w:hAnsi="Arial" w:cs="Arial"/>
          <w:b/>
        </w:rPr>
        <w:t>North of Town Masterplan</w:t>
      </w:r>
      <w:r w:rsidR="009264F2">
        <w:rPr>
          <w:rFonts w:ascii="Arial" w:hAnsi="Arial" w:cs="Arial"/>
          <w:b/>
        </w:rPr>
        <w:t>.</w:t>
      </w:r>
      <w:r w:rsidR="008746E4">
        <w:rPr>
          <w:rFonts w:ascii="Arial" w:hAnsi="Arial" w:cs="Arial"/>
          <w:b/>
        </w:rPr>
        <w:t xml:space="preserve"> </w:t>
      </w:r>
    </w:p>
    <w:p w14:paraId="785733E2" w14:textId="77777777" w:rsidR="005A5347" w:rsidRPr="00877E1A" w:rsidRDefault="005A5347" w:rsidP="002E3C44">
      <w:pPr>
        <w:rPr>
          <w:rFonts w:ascii="Arial" w:hAnsi="Arial" w:cs="Arial"/>
        </w:rPr>
      </w:pPr>
    </w:p>
    <w:p w14:paraId="446E672D" w14:textId="77777777" w:rsidR="005A5347" w:rsidRPr="00877E1A" w:rsidRDefault="005A5347" w:rsidP="002E3C44">
      <w:pPr>
        <w:rPr>
          <w:rFonts w:ascii="Arial" w:hAnsi="Arial" w:cs="Arial"/>
        </w:rPr>
      </w:pPr>
    </w:p>
    <w:p w14:paraId="2CD7865E" w14:textId="77777777" w:rsidR="00B01660" w:rsidRPr="00877E1A" w:rsidRDefault="00B01660" w:rsidP="00B01660">
      <w:pPr>
        <w:spacing w:before="120" w:after="120"/>
        <w:ind w:right="708"/>
        <w:jc w:val="right"/>
        <w:rPr>
          <w:rFonts w:ascii="Arial" w:hAnsi="Arial" w:cs="Arial"/>
          <w:b/>
        </w:rPr>
      </w:pPr>
      <w:r w:rsidRPr="00877E1A">
        <w:rPr>
          <w:rFonts w:ascii="Arial" w:hAnsi="Arial" w:cs="Arial"/>
          <w:b/>
        </w:rPr>
        <w:t>Alistair Coates</w:t>
      </w:r>
    </w:p>
    <w:p w14:paraId="634A943F" w14:textId="605715F2" w:rsidR="00B01660" w:rsidRPr="00877E1A" w:rsidRDefault="00B01660" w:rsidP="00B01660">
      <w:pPr>
        <w:spacing w:before="120" w:after="120"/>
        <w:ind w:left="142" w:right="708"/>
        <w:jc w:val="right"/>
        <w:rPr>
          <w:rFonts w:ascii="Arial" w:hAnsi="Arial" w:cs="Arial"/>
        </w:rPr>
      </w:pPr>
      <w:r w:rsidRPr="00877E1A">
        <w:rPr>
          <w:rFonts w:ascii="Arial" w:hAnsi="Arial" w:cs="Arial"/>
          <w:b/>
        </w:rPr>
        <w:t xml:space="preserve">  </w:t>
      </w:r>
      <w:r w:rsidRPr="00877E1A">
        <w:rPr>
          <w:rFonts w:ascii="Arial" w:hAnsi="Arial" w:cs="Arial"/>
        </w:rPr>
        <w:t>Principal Planner (Policy</w:t>
      </w:r>
      <w:r w:rsidR="005148C8" w:rsidRPr="00877E1A">
        <w:rPr>
          <w:rFonts w:ascii="Arial" w:hAnsi="Arial" w:cs="Arial"/>
        </w:rPr>
        <w:t xml:space="preserve">) </w:t>
      </w:r>
      <w:r w:rsidRPr="00877E1A">
        <w:rPr>
          <w:rFonts w:ascii="Arial" w:hAnsi="Arial" w:cs="Arial"/>
          <w:b/>
        </w:rPr>
        <w:br/>
      </w:r>
      <w:r w:rsidR="00875971">
        <w:rPr>
          <w:rFonts w:ascii="Arial" w:hAnsi="Arial" w:cs="Arial"/>
        </w:rPr>
        <w:t>28</w:t>
      </w:r>
      <w:r w:rsidRPr="00877E1A">
        <w:rPr>
          <w:rFonts w:ascii="Arial" w:hAnsi="Arial" w:cs="Arial"/>
        </w:rPr>
        <w:t>/</w:t>
      </w:r>
      <w:r w:rsidR="00875971">
        <w:rPr>
          <w:rFonts w:ascii="Arial" w:hAnsi="Arial" w:cs="Arial"/>
        </w:rPr>
        <w:t>01</w:t>
      </w:r>
      <w:r w:rsidRPr="00877E1A">
        <w:rPr>
          <w:rFonts w:ascii="Arial" w:hAnsi="Arial" w:cs="Arial"/>
        </w:rPr>
        <w:t>/201</w:t>
      </w:r>
      <w:r w:rsidR="005148C8">
        <w:rPr>
          <w:rFonts w:ascii="Arial" w:hAnsi="Arial" w:cs="Arial"/>
        </w:rPr>
        <w:t>9</w:t>
      </w:r>
      <w:r w:rsidRPr="00877E1A">
        <w:rPr>
          <w:rFonts w:ascii="Arial" w:hAnsi="Arial" w:cs="Arial"/>
        </w:rPr>
        <w:t xml:space="preserve"> </w:t>
      </w:r>
    </w:p>
    <w:p w14:paraId="5F261C89" w14:textId="6D10D527" w:rsidR="007C0734" w:rsidRPr="00877E1A" w:rsidRDefault="005A5347" w:rsidP="00B01660">
      <w:pPr>
        <w:spacing w:before="120" w:after="120"/>
        <w:ind w:right="708"/>
        <w:rPr>
          <w:rFonts w:ascii="Arial" w:hAnsi="Arial" w:cs="Arial"/>
        </w:rPr>
      </w:pPr>
      <w:r w:rsidRPr="00877E1A">
        <w:rPr>
          <w:rFonts w:ascii="Arial" w:hAnsi="Arial" w:cs="Arial"/>
        </w:rPr>
        <w:t xml:space="preserve"> </w:t>
      </w:r>
    </w:p>
    <w:sectPr w:rsidR="007C0734" w:rsidRPr="00877E1A" w:rsidSect="00C1406C">
      <w:footerReference w:type="default" r:id="rId12"/>
      <w:type w:val="continuous"/>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EA2A" w14:textId="77777777" w:rsidR="00427D07" w:rsidRDefault="00427D07" w:rsidP="00490E93">
      <w:r>
        <w:separator/>
      </w:r>
    </w:p>
  </w:endnote>
  <w:endnote w:type="continuationSeparator" w:id="0">
    <w:p w14:paraId="47C24392" w14:textId="77777777" w:rsidR="00427D07" w:rsidRDefault="00427D07" w:rsidP="0049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98308"/>
      <w:docPartObj>
        <w:docPartGallery w:val="Page Numbers (Bottom of Page)"/>
        <w:docPartUnique/>
      </w:docPartObj>
    </w:sdtPr>
    <w:sdtEndPr>
      <w:rPr>
        <w:color w:val="7F7F7F" w:themeColor="background1" w:themeShade="7F"/>
        <w:spacing w:val="60"/>
      </w:rPr>
    </w:sdtEndPr>
    <w:sdtContent>
      <w:p w14:paraId="5DD5FCE0" w14:textId="77777777" w:rsidR="009D2287" w:rsidRDefault="009D2287">
        <w:pPr>
          <w:pStyle w:val="Footer"/>
          <w:pBdr>
            <w:top w:val="single" w:sz="4" w:space="1" w:color="D9D9D9" w:themeColor="background1" w:themeShade="D9"/>
          </w:pBdr>
          <w:jc w:val="right"/>
        </w:pPr>
        <w:r w:rsidRPr="00F519B6">
          <w:rPr>
            <w:rFonts w:asciiTheme="minorHAnsi" w:hAnsiTheme="minorHAnsi"/>
          </w:rPr>
          <w:fldChar w:fldCharType="begin"/>
        </w:r>
        <w:r w:rsidRPr="00F519B6">
          <w:rPr>
            <w:rFonts w:asciiTheme="minorHAnsi" w:hAnsiTheme="minorHAnsi"/>
          </w:rPr>
          <w:instrText xml:space="preserve"> PAGE   \* MERGEFORMAT </w:instrText>
        </w:r>
        <w:r w:rsidRPr="00F519B6">
          <w:rPr>
            <w:rFonts w:asciiTheme="minorHAnsi" w:hAnsiTheme="minorHAnsi"/>
          </w:rPr>
          <w:fldChar w:fldCharType="separate"/>
        </w:r>
        <w:r w:rsidR="00947D3D">
          <w:rPr>
            <w:rFonts w:asciiTheme="minorHAnsi" w:hAnsiTheme="minorHAnsi"/>
            <w:noProof/>
          </w:rPr>
          <w:t>1</w:t>
        </w:r>
        <w:r w:rsidRPr="00F519B6">
          <w:rPr>
            <w:rFonts w:asciiTheme="minorHAnsi" w:hAnsiTheme="minorHAnsi"/>
            <w:noProof/>
          </w:rPr>
          <w:fldChar w:fldCharType="end"/>
        </w:r>
        <w:r w:rsidRPr="00F519B6">
          <w:rPr>
            <w:rFonts w:asciiTheme="minorHAnsi" w:hAnsiTheme="minorHAnsi"/>
          </w:rPr>
          <w:t xml:space="preserve"> | </w:t>
        </w:r>
        <w:r w:rsidRPr="00F519B6">
          <w:rPr>
            <w:rFonts w:asciiTheme="minorHAnsi" w:hAnsiTheme="minorHAnsi"/>
            <w:color w:val="7F7F7F" w:themeColor="background1" w:themeShade="7F"/>
            <w:spacing w:val="60"/>
          </w:rPr>
          <w:t>Page</w:t>
        </w:r>
      </w:p>
    </w:sdtContent>
  </w:sdt>
  <w:p w14:paraId="75530500" w14:textId="77777777" w:rsidR="009D2287" w:rsidRDefault="009D2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522922"/>
      <w:docPartObj>
        <w:docPartGallery w:val="Page Numbers (Bottom of Page)"/>
        <w:docPartUnique/>
      </w:docPartObj>
    </w:sdtPr>
    <w:sdtEndPr>
      <w:rPr>
        <w:color w:val="7F7F7F" w:themeColor="background1" w:themeShade="7F"/>
        <w:spacing w:val="60"/>
      </w:rPr>
    </w:sdtEndPr>
    <w:sdtContent>
      <w:p w14:paraId="7F93D64F" w14:textId="77777777" w:rsidR="00F519B6" w:rsidRDefault="00F519B6">
        <w:pPr>
          <w:pStyle w:val="Footer"/>
          <w:pBdr>
            <w:top w:val="single" w:sz="4" w:space="1" w:color="D9D9D9" w:themeColor="background1" w:themeShade="D9"/>
          </w:pBdr>
          <w:jc w:val="right"/>
        </w:pPr>
        <w:r w:rsidRPr="00F519B6">
          <w:rPr>
            <w:rFonts w:asciiTheme="minorHAnsi" w:hAnsiTheme="minorHAnsi"/>
          </w:rPr>
          <w:fldChar w:fldCharType="begin"/>
        </w:r>
        <w:r w:rsidRPr="00F519B6">
          <w:rPr>
            <w:rFonts w:asciiTheme="minorHAnsi" w:hAnsiTheme="minorHAnsi"/>
          </w:rPr>
          <w:instrText xml:space="preserve"> PAGE   \* MERGEFORMAT </w:instrText>
        </w:r>
        <w:r w:rsidRPr="00F519B6">
          <w:rPr>
            <w:rFonts w:asciiTheme="minorHAnsi" w:hAnsiTheme="minorHAnsi"/>
          </w:rPr>
          <w:fldChar w:fldCharType="separate"/>
        </w:r>
        <w:r w:rsidR="00B01660">
          <w:rPr>
            <w:rFonts w:asciiTheme="minorHAnsi" w:hAnsiTheme="minorHAnsi"/>
            <w:noProof/>
          </w:rPr>
          <w:t>7</w:t>
        </w:r>
        <w:r w:rsidRPr="00F519B6">
          <w:rPr>
            <w:rFonts w:asciiTheme="minorHAnsi" w:hAnsiTheme="minorHAnsi"/>
            <w:noProof/>
          </w:rPr>
          <w:fldChar w:fldCharType="end"/>
        </w:r>
        <w:r w:rsidRPr="00F519B6">
          <w:rPr>
            <w:rFonts w:asciiTheme="minorHAnsi" w:hAnsiTheme="minorHAnsi"/>
          </w:rPr>
          <w:t xml:space="preserve"> | </w:t>
        </w:r>
        <w:r w:rsidRPr="00F519B6">
          <w:rPr>
            <w:rFonts w:asciiTheme="minorHAnsi" w:hAnsiTheme="minorHAnsi"/>
            <w:color w:val="7F7F7F" w:themeColor="background1" w:themeShade="7F"/>
            <w:spacing w:val="60"/>
          </w:rPr>
          <w:t>Page</w:t>
        </w:r>
      </w:p>
    </w:sdtContent>
  </w:sdt>
  <w:p w14:paraId="65918949" w14:textId="77777777" w:rsidR="00F519B6" w:rsidRDefault="00F51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7D1C5" w14:textId="77777777" w:rsidR="00427D07" w:rsidRDefault="00427D07" w:rsidP="00490E93">
      <w:r>
        <w:separator/>
      </w:r>
    </w:p>
  </w:footnote>
  <w:footnote w:type="continuationSeparator" w:id="0">
    <w:p w14:paraId="5F674BEE" w14:textId="77777777" w:rsidR="00427D07" w:rsidRDefault="00427D07" w:rsidP="00490E93">
      <w:r>
        <w:continuationSeparator/>
      </w:r>
    </w:p>
  </w:footnote>
  <w:footnote w:id="1">
    <w:p w14:paraId="1D8A0CAF" w14:textId="77777777" w:rsidR="00B75F2C" w:rsidRPr="00530AC7" w:rsidRDefault="00B75F2C" w:rsidP="00B75F2C">
      <w:pPr>
        <w:pStyle w:val="FootnoteText"/>
        <w:rPr>
          <w:sz w:val="16"/>
          <w:szCs w:val="16"/>
        </w:rPr>
      </w:pPr>
      <w:r w:rsidRPr="00530AC7">
        <w:rPr>
          <w:rStyle w:val="FootnoteReference"/>
          <w:sz w:val="16"/>
          <w:szCs w:val="16"/>
        </w:rPr>
        <w:footnoteRef/>
      </w:r>
      <w:r w:rsidRPr="00530AC7">
        <w:rPr>
          <w:sz w:val="16"/>
          <w:szCs w:val="16"/>
        </w:rPr>
        <w:t xml:space="preserve"> P.73.2011: Revised North of Town Masterplan; adopted by the States on 30 June 2011</w:t>
      </w:r>
    </w:p>
  </w:footnote>
  <w:footnote w:id="2">
    <w:p w14:paraId="54156A18" w14:textId="77777777" w:rsidR="00B75F2C" w:rsidRDefault="00B75F2C" w:rsidP="00B75F2C">
      <w:pPr>
        <w:pStyle w:val="FootnoteText"/>
      </w:pPr>
      <w:r w:rsidRPr="00530AC7">
        <w:rPr>
          <w:rStyle w:val="FootnoteReference"/>
          <w:sz w:val="16"/>
          <w:szCs w:val="16"/>
        </w:rPr>
        <w:footnoteRef/>
      </w:r>
      <w:r w:rsidRPr="00530AC7">
        <w:rPr>
          <w:sz w:val="16"/>
          <w:szCs w:val="16"/>
        </w:rPr>
        <w:t xml:space="preserve"> MD-PE-2013-0106: 25/09/2013</w:t>
      </w:r>
    </w:p>
  </w:footnote>
  <w:footnote w:id="3">
    <w:p w14:paraId="5493F05C" w14:textId="77777777" w:rsidR="007B2184" w:rsidRPr="007B2184" w:rsidRDefault="007B2184">
      <w:pPr>
        <w:pStyle w:val="FootnoteText"/>
        <w:rPr>
          <w:sz w:val="16"/>
          <w:szCs w:val="16"/>
        </w:rPr>
      </w:pPr>
      <w:r w:rsidRPr="007B2184">
        <w:rPr>
          <w:rStyle w:val="FootnoteReference"/>
          <w:sz w:val="16"/>
          <w:szCs w:val="16"/>
        </w:rPr>
        <w:footnoteRef/>
      </w:r>
      <w:r w:rsidRPr="007B2184">
        <w:rPr>
          <w:sz w:val="16"/>
          <w:szCs w:val="16"/>
        </w:rPr>
        <w:t xml:space="preserve"> Introduction</w:t>
      </w:r>
      <w:r>
        <w:rPr>
          <w:sz w:val="16"/>
          <w:szCs w:val="16"/>
        </w:rPr>
        <w:t xml:space="preserve"> </w:t>
      </w:r>
      <w:r w:rsidRPr="007B2184">
        <w:rPr>
          <w:sz w:val="16"/>
          <w:szCs w:val="16"/>
        </w:rPr>
        <w:t>to the Development Brief</w:t>
      </w:r>
    </w:p>
  </w:footnote>
  <w:footnote w:id="4">
    <w:p w14:paraId="4A78EADD" w14:textId="77777777" w:rsidR="00FD40EF" w:rsidRPr="00FD40EF" w:rsidRDefault="00FD40EF">
      <w:pPr>
        <w:pStyle w:val="FootnoteText"/>
        <w:rPr>
          <w:sz w:val="16"/>
          <w:szCs w:val="16"/>
        </w:rPr>
      </w:pPr>
      <w:r w:rsidRPr="00FD40EF">
        <w:rPr>
          <w:rStyle w:val="FootnoteReference"/>
          <w:sz w:val="16"/>
          <w:szCs w:val="16"/>
        </w:rPr>
        <w:footnoteRef/>
      </w:r>
      <w:r w:rsidRPr="00FD40EF">
        <w:rPr>
          <w:sz w:val="16"/>
          <w:szCs w:val="16"/>
        </w:rPr>
        <w:t xml:space="preserve"> States Proposition P.114/2017; adopted 17/01/2018</w:t>
      </w:r>
    </w:p>
  </w:footnote>
  <w:footnote w:id="5">
    <w:p w14:paraId="1BD6FA47" w14:textId="77777777" w:rsidR="00FD2A44" w:rsidRDefault="00FD2A44">
      <w:pPr>
        <w:pStyle w:val="FootnoteText"/>
      </w:pPr>
      <w:r w:rsidRPr="00FD2A44">
        <w:rPr>
          <w:rStyle w:val="FootnoteReference"/>
          <w:sz w:val="16"/>
          <w:szCs w:val="16"/>
        </w:rPr>
        <w:footnoteRef/>
      </w:r>
      <w:r w:rsidRPr="00FD2A44">
        <w:rPr>
          <w:sz w:val="16"/>
          <w:szCs w:val="16"/>
        </w:rPr>
        <w:t xml:space="preserve"> </w:t>
      </w:r>
      <w:r w:rsidRPr="00F05F34">
        <w:rPr>
          <w:sz w:val="16"/>
          <w:szCs w:val="16"/>
        </w:rPr>
        <w:t>Andium Homes Ltd</w:t>
      </w:r>
      <w:r>
        <w:rPr>
          <w:sz w:val="16"/>
          <w:szCs w:val="16"/>
        </w:rPr>
        <w:t xml:space="preserve"> is a wholly States owned but independent company.</w:t>
      </w:r>
    </w:p>
  </w:footnote>
  <w:footnote w:id="6">
    <w:p w14:paraId="214C2F0A" w14:textId="77777777" w:rsidR="00FD2A44" w:rsidRPr="00FD2A44" w:rsidRDefault="00FD2A44" w:rsidP="00FD2A44">
      <w:pPr>
        <w:pStyle w:val="FootnoteText"/>
        <w:rPr>
          <w:sz w:val="16"/>
          <w:szCs w:val="16"/>
        </w:rPr>
      </w:pPr>
      <w:r w:rsidRPr="00FD2A44">
        <w:rPr>
          <w:rStyle w:val="FootnoteReference"/>
          <w:sz w:val="16"/>
          <w:szCs w:val="16"/>
        </w:rPr>
        <w:footnoteRef/>
      </w:r>
      <w:r w:rsidRPr="00FD2A44">
        <w:rPr>
          <w:sz w:val="16"/>
          <w:szCs w:val="16"/>
        </w:rPr>
        <w:t xml:space="preserve"> Page 3 of the Proposition, final para.</w:t>
      </w:r>
    </w:p>
  </w:footnote>
  <w:footnote w:id="7">
    <w:p w14:paraId="02B563C9" w14:textId="77777777" w:rsidR="009D2287" w:rsidRPr="00B13619" w:rsidRDefault="009D2287" w:rsidP="009D2287">
      <w:pPr>
        <w:pStyle w:val="FootnoteText"/>
        <w:rPr>
          <w:sz w:val="16"/>
          <w:szCs w:val="16"/>
        </w:rPr>
      </w:pPr>
      <w:r w:rsidRPr="00B13619">
        <w:rPr>
          <w:rStyle w:val="FootnoteReference"/>
          <w:sz w:val="16"/>
          <w:szCs w:val="16"/>
        </w:rPr>
        <w:footnoteRef/>
      </w:r>
      <w:r w:rsidRPr="00B13619">
        <w:rPr>
          <w:sz w:val="16"/>
          <w:szCs w:val="16"/>
        </w:rPr>
        <w:t xml:space="preserve"> Page 4 of Proposition P.114/2017</w:t>
      </w:r>
    </w:p>
  </w:footnote>
  <w:footnote w:id="8">
    <w:p w14:paraId="7F39518A" w14:textId="319E8632" w:rsidR="001E1AEA" w:rsidRPr="00B01660" w:rsidRDefault="001E1AEA">
      <w:pPr>
        <w:pStyle w:val="FootnoteText"/>
        <w:rPr>
          <w:sz w:val="20"/>
          <w:szCs w:val="20"/>
        </w:rPr>
      </w:pPr>
      <w:r w:rsidRPr="00B01660">
        <w:rPr>
          <w:rStyle w:val="FootnoteReference"/>
          <w:sz w:val="20"/>
          <w:szCs w:val="20"/>
        </w:rPr>
        <w:footnoteRef/>
      </w:r>
      <w:r w:rsidRPr="00B01660">
        <w:rPr>
          <w:sz w:val="20"/>
          <w:szCs w:val="20"/>
        </w:rPr>
        <w:t xml:space="preserve"> Future St Helier Traffic Management Schemes Appraisal: September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C5B"/>
    <w:multiLevelType w:val="hybridMultilevel"/>
    <w:tmpl w:val="262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3890"/>
    <w:multiLevelType w:val="hybridMultilevel"/>
    <w:tmpl w:val="D3805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423AD3"/>
    <w:multiLevelType w:val="multilevel"/>
    <w:tmpl w:val="036812F4"/>
    <w:lvl w:ilvl="0">
      <w:start w:val="1"/>
      <w:numFmt w:val="decimal"/>
      <w:lvlText w:val="%1"/>
      <w:lvlJc w:val="left"/>
      <w:pPr>
        <w:ind w:left="574" w:hanging="432"/>
      </w:pPr>
      <w:rPr>
        <w:b/>
      </w:r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8DB68F8"/>
    <w:multiLevelType w:val="hybridMultilevel"/>
    <w:tmpl w:val="39F27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46107"/>
    <w:multiLevelType w:val="hybridMultilevel"/>
    <w:tmpl w:val="0648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53C3A"/>
    <w:multiLevelType w:val="hybridMultilevel"/>
    <w:tmpl w:val="78AAA29C"/>
    <w:lvl w:ilvl="0" w:tplc="9AB0EC8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F0"/>
    <w:rsid w:val="0001007F"/>
    <w:rsid w:val="00022719"/>
    <w:rsid w:val="00034234"/>
    <w:rsid w:val="00045CF3"/>
    <w:rsid w:val="00052B20"/>
    <w:rsid w:val="0006768A"/>
    <w:rsid w:val="00075A04"/>
    <w:rsid w:val="00081C10"/>
    <w:rsid w:val="00084650"/>
    <w:rsid w:val="000919C9"/>
    <w:rsid w:val="000A4E46"/>
    <w:rsid w:val="000B6623"/>
    <w:rsid w:val="000C08B3"/>
    <w:rsid w:val="000D6134"/>
    <w:rsid w:val="000D7A9F"/>
    <w:rsid w:val="000F77D1"/>
    <w:rsid w:val="00106316"/>
    <w:rsid w:val="001164C1"/>
    <w:rsid w:val="0012258E"/>
    <w:rsid w:val="00123A5B"/>
    <w:rsid w:val="00123D07"/>
    <w:rsid w:val="001536F0"/>
    <w:rsid w:val="001600E9"/>
    <w:rsid w:val="001713CB"/>
    <w:rsid w:val="00177EA1"/>
    <w:rsid w:val="00177F44"/>
    <w:rsid w:val="00184E52"/>
    <w:rsid w:val="00185E5D"/>
    <w:rsid w:val="00194D93"/>
    <w:rsid w:val="0019705F"/>
    <w:rsid w:val="001A7616"/>
    <w:rsid w:val="001B3824"/>
    <w:rsid w:val="001B601C"/>
    <w:rsid w:val="001C3CCC"/>
    <w:rsid w:val="001D6095"/>
    <w:rsid w:val="001E1AEA"/>
    <w:rsid w:val="002029D4"/>
    <w:rsid w:val="00224877"/>
    <w:rsid w:val="00233266"/>
    <w:rsid w:val="00235E73"/>
    <w:rsid w:val="00236658"/>
    <w:rsid w:val="002405AE"/>
    <w:rsid w:val="0025763B"/>
    <w:rsid w:val="0026080A"/>
    <w:rsid w:val="00283395"/>
    <w:rsid w:val="00292CB5"/>
    <w:rsid w:val="002954A9"/>
    <w:rsid w:val="002976A4"/>
    <w:rsid w:val="002A72B9"/>
    <w:rsid w:val="002D4661"/>
    <w:rsid w:val="002E3C44"/>
    <w:rsid w:val="002E6CDC"/>
    <w:rsid w:val="002F0D73"/>
    <w:rsid w:val="00303275"/>
    <w:rsid w:val="00314F4C"/>
    <w:rsid w:val="003206B8"/>
    <w:rsid w:val="00353403"/>
    <w:rsid w:val="00360966"/>
    <w:rsid w:val="00362147"/>
    <w:rsid w:val="0036702E"/>
    <w:rsid w:val="003B2DBD"/>
    <w:rsid w:val="003B572B"/>
    <w:rsid w:val="003C1187"/>
    <w:rsid w:val="003C356C"/>
    <w:rsid w:val="003C4189"/>
    <w:rsid w:val="003D226D"/>
    <w:rsid w:val="003D492D"/>
    <w:rsid w:val="003E30B9"/>
    <w:rsid w:val="003F6005"/>
    <w:rsid w:val="00412354"/>
    <w:rsid w:val="00415A0F"/>
    <w:rsid w:val="00427D07"/>
    <w:rsid w:val="0045388F"/>
    <w:rsid w:val="0045723A"/>
    <w:rsid w:val="004664D7"/>
    <w:rsid w:val="00472114"/>
    <w:rsid w:val="00490E93"/>
    <w:rsid w:val="004C4628"/>
    <w:rsid w:val="004D49CB"/>
    <w:rsid w:val="004E7843"/>
    <w:rsid w:val="004F6701"/>
    <w:rsid w:val="00500A4C"/>
    <w:rsid w:val="005148C8"/>
    <w:rsid w:val="00530AC7"/>
    <w:rsid w:val="005465F7"/>
    <w:rsid w:val="005615BF"/>
    <w:rsid w:val="00566600"/>
    <w:rsid w:val="005669EF"/>
    <w:rsid w:val="00575553"/>
    <w:rsid w:val="005916E2"/>
    <w:rsid w:val="00592782"/>
    <w:rsid w:val="005A5347"/>
    <w:rsid w:val="005B1FEE"/>
    <w:rsid w:val="005B23D5"/>
    <w:rsid w:val="005D1A07"/>
    <w:rsid w:val="005D43E9"/>
    <w:rsid w:val="005E57A8"/>
    <w:rsid w:val="005F292B"/>
    <w:rsid w:val="005F30AD"/>
    <w:rsid w:val="00623832"/>
    <w:rsid w:val="00625186"/>
    <w:rsid w:val="006325D5"/>
    <w:rsid w:val="0063388C"/>
    <w:rsid w:val="006375B5"/>
    <w:rsid w:val="00637BE9"/>
    <w:rsid w:val="00641BF0"/>
    <w:rsid w:val="00650C85"/>
    <w:rsid w:val="006552B9"/>
    <w:rsid w:val="00661EE0"/>
    <w:rsid w:val="0066700E"/>
    <w:rsid w:val="006701CC"/>
    <w:rsid w:val="00677F6A"/>
    <w:rsid w:val="00697F6A"/>
    <w:rsid w:val="006A3C32"/>
    <w:rsid w:val="006B3FC6"/>
    <w:rsid w:val="006B799D"/>
    <w:rsid w:val="006E5076"/>
    <w:rsid w:val="006F2394"/>
    <w:rsid w:val="006F4ADC"/>
    <w:rsid w:val="00700D63"/>
    <w:rsid w:val="0071646A"/>
    <w:rsid w:val="0072319B"/>
    <w:rsid w:val="007277C0"/>
    <w:rsid w:val="00752B29"/>
    <w:rsid w:val="007624DE"/>
    <w:rsid w:val="00786C06"/>
    <w:rsid w:val="007977ED"/>
    <w:rsid w:val="007A0D38"/>
    <w:rsid w:val="007B2184"/>
    <w:rsid w:val="007B272D"/>
    <w:rsid w:val="007B3602"/>
    <w:rsid w:val="007C0734"/>
    <w:rsid w:val="007C37CC"/>
    <w:rsid w:val="007E6188"/>
    <w:rsid w:val="007F722F"/>
    <w:rsid w:val="0080600F"/>
    <w:rsid w:val="00810C83"/>
    <w:rsid w:val="00812FB5"/>
    <w:rsid w:val="008134D4"/>
    <w:rsid w:val="00813865"/>
    <w:rsid w:val="008213EE"/>
    <w:rsid w:val="00825D2D"/>
    <w:rsid w:val="0082702D"/>
    <w:rsid w:val="00840BCC"/>
    <w:rsid w:val="0084586B"/>
    <w:rsid w:val="00855A70"/>
    <w:rsid w:val="00860A86"/>
    <w:rsid w:val="00864CA3"/>
    <w:rsid w:val="008746E4"/>
    <w:rsid w:val="00875971"/>
    <w:rsid w:val="00877E1A"/>
    <w:rsid w:val="008841EE"/>
    <w:rsid w:val="008A1A29"/>
    <w:rsid w:val="008A3D80"/>
    <w:rsid w:val="008E0794"/>
    <w:rsid w:val="008E46A2"/>
    <w:rsid w:val="00912F86"/>
    <w:rsid w:val="00921DAC"/>
    <w:rsid w:val="009264F2"/>
    <w:rsid w:val="00936147"/>
    <w:rsid w:val="00947D3D"/>
    <w:rsid w:val="009700E8"/>
    <w:rsid w:val="00970841"/>
    <w:rsid w:val="00973284"/>
    <w:rsid w:val="009873E5"/>
    <w:rsid w:val="009A0C7B"/>
    <w:rsid w:val="009A4E36"/>
    <w:rsid w:val="009A4F6C"/>
    <w:rsid w:val="009C06A3"/>
    <w:rsid w:val="009C3D66"/>
    <w:rsid w:val="009D2287"/>
    <w:rsid w:val="009E39AC"/>
    <w:rsid w:val="009E3E77"/>
    <w:rsid w:val="009E419E"/>
    <w:rsid w:val="009E5E35"/>
    <w:rsid w:val="009E6B43"/>
    <w:rsid w:val="00A0070C"/>
    <w:rsid w:val="00A164F3"/>
    <w:rsid w:val="00A36334"/>
    <w:rsid w:val="00A37F74"/>
    <w:rsid w:val="00A509CB"/>
    <w:rsid w:val="00A528D8"/>
    <w:rsid w:val="00A66755"/>
    <w:rsid w:val="00A8159A"/>
    <w:rsid w:val="00A85157"/>
    <w:rsid w:val="00AA2FF5"/>
    <w:rsid w:val="00AA4062"/>
    <w:rsid w:val="00AB1EAF"/>
    <w:rsid w:val="00AC20D6"/>
    <w:rsid w:val="00AC35BC"/>
    <w:rsid w:val="00AC4334"/>
    <w:rsid w:val="00AD2539"/>
    <w:rsid w:val="00AD37C0"/>
    <w:rsid w:val="00AD39D5"/>
    <w:rsid w:val="00B01660"/>
    <w:rsid w:val="00B01D3A"/>
    <w:rsid w:val="00B03761"/>
    <w:rsid w:val="00B03D5F"/>
    <w:rsid w:val="00B13619"/>
    <w:rsid w:val="00B17559"/>
    <w:rsid w:val="00B32C2D"/>
    <w:rsid w:val="00B37CE6"/>
    <w:rsid w:val="00B4422B"/>
    <w:rsid w:val="00B63F2D"/>
    <w:rsid w:val="00B75F2C"/>
    <w:rsid w:val="00BA0E70"/>
    <w:rsid w:val="00BA2A6B"/>
    <w:rsid w:val="00BA7210"/>
    <w:rsid w:val="00BE274B"/>
    <w:rsid w:val="00BE611C"/>
    <w:rsid w:val="00C10864"/>
    <w:rsid w:val="00C1406C"/>
    <w:rsid w:val="00C27DEF"/>
    <w:rsid w:val="00C44265"/>
    <w:rsid w:val="00C508B1"/>
    <w:rsid w:val="00C5104F"/>
    <w:rsid w:val="00C627C1"/>
    <w:rsid w:val="00C66B7F"/>
    <w:rsid w:val="00C73E2F"/>
    <w:rsid w:val="00C85CCE"/>
    <w:rsid w:val="00CA06EE"/>
    <w:rsid w:val="00CA0A8B"/>
    <w:rsid w:val="00CB3BCE"/>
    <w:rsid w:val="00CC4FB2"/>
    <w:rsid w:val="00CD28CA"/>
    <w:rsid w:val="00CE10B7"/>
    <w:rsid w:val="00CE5602"/>
    <w:rsid w:val="00D1067C"/>
    <w:rsid w:val="00D1285E"/>
    <w:rsid w:val="00D232C3"/>
    <w:rsid w:val="00D50031"/>
    <w:rsid w:val="00D513BB"/>
    <w:rsid w:val="00D51FD5"/>
    <w:rsid w:val="00D73747"/>
    <w:rsid w:val="00D8409F"/>
    <w:rsid w:val="00DA1C4F"/>
    <w:rsid w:val="00DA200B"/>
    <w:rsid w:val="00DB0BBB"/>
    <w:rsid w:val="00DB4BE1"/>
    <w:rsid w:val="00DC576B"/>
    <w:rsid w:val="00DF7F4B"/>
    <w:rsid w:val="00E133DE"/>
    <w:rsid w:val="00E1536E"/>
    <w:rsid w:val="00E20E93"/>
    <w:rsid w:val="00E27017"/>
    <w:rsid w:val="00E35A00"/>
    <w:rsid w:val="00E82791"/>
    <w:rsid w:val="00E84F99"/>
    <w:rsid w:val="00E976D0"/>
    <w:rsid w:val="00EA1AA1"/>
    <w:rsid w:val="00EB16E6"/>
    <w:rsid w:val="00EB5F0B"/>
    <w:rsid w:val="00EC2434"/>
    <w:rsid w:val="00EC262F"/>
    <w:rsid w:val="00EC4334"/>
    <w:rsid w:val="00EF619C"/>
    <w:rsid w:val="00F02002"/>
    <w:rsid w:val="00F05F34"/>
    <w:rsid w:val="00F10C43"/>
    <w:rsid w:val="00F26744"/>
    <w:rsid w:val="00F30F87"/>
    <w:rsid w:val="00F33A2D"/>
    <w:rsid w:val="00F374CD"/>
    <w:rsid w:val="00F5121A"/>
    <w:rsid w:val="00F519B6"/>
    <w:rsid w:val="00F5261E"/>
    <w:rsid w:val="00F52AD3"/>
    <w:rsid w:val="00F5510C"/>
    <w:rsid w:val="00F606E1"/>
    <w:rsid w:val="00F83FE6"/>
    <w:rsid w:val="00F86D0D"/>
    <w:rsid w:val="00FA26B4"/>
    <w:rsid w:val="00FB1753"/>
    <w:rsid w:val="00FC26AD"/>
    <w:rsid w:val="00FC7820"/>
    <w:rsid w:val="00FD2A44"/>
    <w:rsid w:val="00FD40EF"/>
    <w:rsid w:val="00FD6759"/>
    <w:rsid w:val="00FE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F095A5"/>
  <w15:chartTrackingRefBased/>
  <w15:docId w15:val="{4CFA7C4D-AA1B-47E6-8238-897804EE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90E93"/>
    <w:pPr>
      <w:jc w:val="both"/>
    </w:pPr>
    <w:rPr>
      <w:rFonts w:ascii="Arial" w:hAnsi="Arial"/>
    </w:rPr>
  </w:style>
  <w:style w:type="character" w:customStyle="1" w:styleId="FootnoteTextChar">
    <w:name w:val="Footnote Text Char"/>
    <w:basedOn w:val="DefaultParagraphFont"/>
    <w:link w:val="FootnoteText"/>
    <w:rsid w:val="00490E93"/>
    <w:rPr>
      <w:rFonts w:ascii="Arial" w:hAnsi="Arial"/>
      <w:sz w:val="24"/>
      <w:szCs w:val="24"/>
    </w:rPr>
  </w:style>
  <w:style w:type="character" w:styleId="FootnoteReference">
    <w:name w:val="footnote reference"/>
    <w:rsid w:val="00490E93"/>
    <w:rPr>
      <w:vertAlign w:val="superscript"/>
    </w:rPr>
  </w:style>
  <w:style w:type="paragraph" w:styleId="Header">
    <w:name w:val="header"/>
    <w:basedOn w:val="Normal"/>
    <w:link w:val="HeaderChar"/>
    <w:rsid w:val="00F519B6"/>
    <w:pPr>
      <w:tabs>
        <w:tab w:val="center" w:pos="4513"/>
        <w:tab w:val="right" w:pos="9026"/>
      </w:tabs>
    </w:pPr>
  </w:style>
  <w:style w:type="character" w:customStyle="1" w:styleId="HeaderChar">
    <w:name w:val="Header Char"/>
    <w:basedOn w:val="DefaultParagraphFont"/>
    <w:link w:val="Header"/>
    <w:rsid w:val="00F519B6"/>
    <w:rPr>
      <w:sz w:val="24"/>
      <w:szCs w:val="24"/>
    </w:rPr>
  </w:style>
  <w:style w:type="paragraph" w:styleId="Footer">
    <w:name w:val="footer"/>
    <w:basedOn w:val="Normal"/>
    <w:link w:val="FooterChar"/>
    <w:uiPriority w:val="99"/>
    <w:rsid w:val="00F519B6"/>
    <w:pPr>
      <w:tabs>
        <w:tab w:val="center" w:pos="4513"/>
        <w:tab w:val="right" w:pos="9026"/>
      </w:tabs>
    </w:pPr>
  </w:style>
  <w:style w:type="character" w:customStyle="1" w:styleId="FooterChar">
    <w:name w:val="Footer Char"/>
    <w:basedOn w:val="DefaultParagraphFont"/>
    <w:link w:val="Footer"/>
    <w:uiPriority w:val="99"/>
    <w:rsid w:val="00F519B6"/>
    <w:rPr>
      <w:sz w:val="24"/>
      <w:szCs w:val="24"/>
    </w:rPr>
  </w:style>
  <w:style w:type="paragraph" w:styleId="PlainText">
    <w:name w:val="Plain Text"/>
    <w:basedOn w:val="Normal"/>
    <w:link w:val="PlainTextChar"/>
    <w:uiPriority w:val="99"/>
    <w:unhideWhenUsed/>
    <w:rsid w:val="002029D4"/>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029D4"/>
    <w:rPr>
      <w:rFonts w:ascii="Calibri" w:eastAsiaTheme="minorHAnsi" w:hAnsi="Calibri" w:cs="Consolas"/>
      <w:sz w:val="22"/>
      <w:szCs w:val="21"/>
      <w:lang w:eastAsia="en-US"/>
    </w:rPr>
  </w:style>
  <w:style w:type="character" w:styleId="Hyperlink">
    <w:name w:val="Hyperlink"/>
    <w:basedOn w:val="DefaultParagraphFont"/>
    <w:rsid w:val="002029D4"/>
    <w:rPr>
      <w:color w:val="0563C1" w:themeColor="hyperlink"/>
      <w:u w:val="single"/>
    </w:rPr>
  </w:style>
  <w:style w:type="character" w:styleId="FollowedHyperlink">
    <w:name w:val="FollowedHyperlink"/>
    <w:basedOn w:val="DefaultParagraphFont"/>
    <w:rsid w:val="002029D4"/>
    <w:rPr>
      <w:color w:val="954F72" w:themeColor="followedHyperlink"/>
      <w:u w:val="single"/>
    </w:rPr>
  </w:style>
  <w:style w:type="paragraph" w:styleId="BalloonText">
    <w:name w:val="Balloon Text"/>
    <w:basedOn w:val="Normal"/>
    <w:link w:val="BalloonTextChar"/>
    <w:rsid w:val="002029D4"/>
    <w:rPr>
      <w:rFonts w:ascii="Segoe UI" w:hAnsi="Segoe UI" w:cs="Segoe UI"/>
      <w:sz w:val="18"/>
      <w:szCs w:val="18"/>
    </w:rPr>
  </w:style>
  <w:style w:type="character" w:customStyle="1" w:styleId="BalloonTextChar">
    <w:name w:val="Balloon Text Char"/>
    <w:basedOn w:val="DefaultParagraphFont"/>
    <w:link w:val="BalloonText"/>
    <w:rsid w:val="002029D4"/>
    <w:rPr>
      <w:rFonts w:ascii="Segoe UI" w:hAnsi="Segoe UI" w:cs="Segoe UI"/>
      <w:sz w:val="18"/>
      <w:szCs w:val="18"/>
    </w:rPr>
  </w:style>
  <w:style w:type="paragraph" w:styleId="ListParagraph">
    <w:name w:val="List Paragraph"/>
    <w:basedOn w:val="Normal"/>
    <w:uiPriority w:val="34"/>
    <w:qFormat/>
    <w:rsid w:val="007C0734"/>
    <w:pPr>
      <w:ind w:left="720"/>
      <w:contextualSpacing/>
    </w:pPr>
  </w:style>
  <w:style w:type="table" w:styleId="TableGrid">
    <w:name w:val="Table Grid"/>
    <w:basedOn w:val="TableNormal"/>
    <w:rsid w:val="004F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92CB5"/>
    <w:rPr>
      <w:sz w:val="16"/>
      <w:szCs w:val="16"/>
    </w:rPr>
  </w:style>
  <w:style w:type="paragraph" w:styleId="CommentText">
    <w:name w:val="annotation text"/>
    <w:basedOn w:val="Normal"/>
    <w:link w:val="CommentTextChar"/>
    <w:rsid w:val="00292CB5"/>
    <w:rPr>
      <w:sz w:val="20"/>
      <w:szCs w:val="20"/>
    </w:rPr>
  </w:style>
  <w:style w:type="character" w:customStyle="1" w:styleId="CommentTextChar">
    <w:name w:val="Comment Text Char"/>
    <w:basedOn w:val="DefaultParagraphFont"/>
    <w:link w:val="CommentText"/>
    <w:rsid w:val="00292CB5"/>
  </w:style>
  <w:style w:type="paragraph" w:styleId="CommentSubject">
    <w:name w:val="annotation subject"/>
    <w:basedOn w:val="CommentText"/>
    <w:next w:val="CommentText"/>
    <w:link w:val="CommentSubjectChar"/>
    <w:rsid w:val="00292CB5"/>
    <w:rPr>
      <w:b/>
      <w:bCs/>
    </w:rPr>
  </w:style>
  <w:style w:type="character" w:customStyle="1" w:styleId="CommentSubjectChar">
    <w:name w:val="Comment Subject Char"/>
    <w:basedOn w:val="CommentTextChar"/>
    <w:link w:val="CommentSubject"/>
    <w:rsid w:val="0029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je/SiteCollectionDocuments/Planning%20and%20building/St%20Helier%20Report%20v4%20appendices%20removed.pdf" TargetMode="External"/><Relationship Id="rId4" Type="http://schemas.openxmlformats.org/officeDocument/2006/relationships/settings" Target="settings.xml"/><Relationship Id="rId9" Type="http://schemas.openxmlformats.org/officeDocument/2006/relationships/hyperlink" Target="https://andiumhomesje.azurewebsites.net/wp-content/uploads/Andium-Homes-Annual-Report-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F095B9CBBD7A499592BC49B5862D9D" ma:contentTypeVersion="0" ma:contentTypeDescription="Create a new document." ma:contentTypeScope="" ma:versionID="6d683766559de45cf653c7ffb06f373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1FEA1-3371-4EE7-860D-029CB03BE150}">
  <ds:schemaRefs>
    <ds:schemaRef ds:uri="http://schemas.openxmlformats.org/officeDocument/2006/bibliography"/>
  </ds:schemaRefs>
</ds:datastoreItem>
</file>

<file path=customXml/itemProps2.xml><?xml version="1.0" encoding="utf-8"?>
<ds:datastoreItem xmlns:ds="http://schemas.openxmlformats.org/officeDocument/2006/customXml" ds:itemID="{097FDB16-030A-4649-B394-6EFB996D4613}"/>
</file>

<file path=customXml/itemProps3.xml><?xml version="1.0" encoding="utf-8"?>
<ds:datastoreItem xmlns:ds="http://schemas.openxmlformats.org/officeDocument/2006/customXml" ds:itemID="{235F2B47-49C4-449D-92C7-78D3D2033A7E}"/>
</file>

<file path=customXml/itemProps4.xml><?xml version="1.0" encoding="utf-8"?>
<ds:datastoreItem xmlns:ds="http://schemas.openxmlformats.org/officeDocument/2006/customXml" ds:itemID="{7C5ABE70-E00E-4D3E-91E6-834EBEDF8034}"/>
</file>

<file path=docProps/app.xml><?xml version="1.0" encoding="utf-8"?>
<Properties xmlns="http://schemas.openxmlformats.org/officeDocument/2006/extended-properties" xmlns:vt="http://schemas.openxmlformats.org/officeDocument/2006/docPropsVTypes">
  <Template>92B3B3AE</Template>
  <TotalTime>0</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Coates</dc:creator>
  <cp:keywords/>
  <dc:description/>
  <cp:lastModifiedBy>Alistair Coates</cp:lastModifiedBy>
  <cp:revision>2</cp:revision>
  <cp:lastPrinted>2019-01-24T15:07:00Z</cp:lastPrinted>
  <dcterms:created xsi:type="dcterms:W3CDTF">2019-01-28T14:50:00Z</dcterms:created>
  <dcterms:modified xsi:type="dcterms:W3CDTF">2019-01-28T14:50:00Z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0x01010050F095B9CBBD7A499592BC49B5862D9D</vt:lpwstr>
  </property>
</Properties>
</file>